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113C73"/>
          <w:sz w:val="56"/>
        </w:rPr>
        <w:t>GovSecure</w:t>
      </w:r>
      <w:r>
        <w:rPr>
          <w:rFonts w:ascii="Aptos" w:hAnsi="Aptos"/>
          <w:b/>
          <w:color w:val="266DD3"/>
          <w:sz w:val="56"/>
        </w:rPr>
        <w:t xml:space="preserve"> AI Policy Suite</w:t>
      </w:r>
    </w:p>
    <w:p>
      <w:pPr>
        <w:spacing w:before="440"/>
      </w:pPr>
      <w:r>
        <w:rPr>
          <w:rFonts w:ascii="Aptos" w:hAnsi="Aptos"/>
          <w:b/>
          <w:color w:val="113C73"/>
          <w:sz w:val="46"/>
        </w:rPr>
        <w:t>GovSecure AI Policy Suite</w:t>
      </w:r>
    </w:p>
    <w:p>
      <w:r>
        <w:rPr>
          <w:rFonts w:ascii="Aptos" w:hAnsi="Aptos"/>
          <w:color w:val="5A626C"/>
          <w:sz w:val="24"/>
        </w:rPr>
        <w:t>Single-offering package of core policies, supporting standards, forms, questionnaire, registry, and charter</w:t>
      </w:r>
    </w:p>
    <w:p>
      <w:r>
        <w:rPr>
          <w:rFonts w:ascii="Aptos" w:hAnsi="Aptos"/>
          <w:color w:val="266DD3"/>
          <w:sz w:val="20"/>
        </w:rPr>
        <w:t>Document Code: GS-AIPS-GUIDE-01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2952"/>
        <w:gridCol w:w="2952"/>
      </w:tblGrid>
      <w:tr>
        <w:tc>
          <w:tcPr>
            <w:tcW w:type="dxa" w:w="3408"/>
            <w:shd w:fill="F2F6FC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13C73"/>
                <w:sz w:val="20"/>
              </w:rPr>
              <w:t>Audience</w:t>
              <w:br/>
            </w:r>
            <w:r>
              <w:rPr>
                <w:rFonts w:ascii="Aptos" w:hAnsi="Aptos"/>
                <w:color w:val="5A626C"/>
                <w:sz w:val="18"/>
              </w:rPr>
              <w:t>SMBs and growing enterprises</w:t>
            </w:r>
          </w:p>
        </w:tc>
        <w:tc>
          <w:tcPr>
            <w:tcW w:type="dxa" w:w="3408"/>
            <w:shd w:fill="F2F6FC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13C73"/>
                <w:sz w:val="20"/>
              </w:rPr>
              <w:t>Style</w:t>
              <w:br/>
            </w:r>
            <w:r>
              <w:rPr>
                <w:rFonts w:ascii="Aptos" w:hAnsi="Aptos"/>
                <w:color w:val="5A626C"/>
                <w:sz w:val="18"/>
              </w:rPr>
              <w:t>Creative-enterprise, client-ready</w:t>
            </w:r>
          </w:p>
        </w:tc>
        <w:tc>
          <w:tcPr>
            <w:tcW w:type="dxa" w:w="3408"/>
            <w:shd w:fill="F2F6FC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13C73"/>
                <w:sz w:val="20"/>
              </w:rPr>
              <w:t>Package</w:t>
              <w:br/>
            </w:r>
            <w:r>
              <w:rPr>
                <w:rFonts w:ascii="Aptos" w:hAnsi="Aptos"/>
                <w:color w:val="5A626C"/>
                <w:sz w:val="18"/>
              </w:rPr>
              <w:t>Operational governance toolkit</w:t>
            </w:r>
          </w:p>
        </w:tc>
      </w:tr>
    </w:tbl>
    <w:p/>
    <w:p>
      <w:r>
        <w:rPr>
          <w:rFonts w:ascii="Aptos" w:hAnsi="Aptos"/>
          <w:color w:val="5A626C"/>
          <w:sz w:val="20"/>
        </w:rPr>
        <w:t>For internal operational use and paid client delivery. Customization remains the responsibility of the adopting organization.</w:t>
      </w:r>
    </w:p>
    <w:p>
      <w:r>
        <w:br w:type="page"/>
      </w:r>
    </w:p>
    <w:p>
      <w:pPr>
        <w:spacing w:before="200" w:after="80"/>
      </w:pPr>
      <w:r>
        <w:rPr>
          <w:rFonts w:ascii="Aptos" w:hAnsi="Aptos"/>
          <w:b/>
          <w:color w:val="113C73"/>
          <w:sz w:val="30"/>
        </w:rPr>
        <w:t>What is included</w:t>
      </w:r>
    </w:p>
    <w:p>
      <w:pPr>
        <w:pStyle w:val="BodyCustom"/>
      </w:pPr>
      <w:r>
        <w:t>This package combines the core policy layer already completed with the operational artifacts needed to turn policy into day-to-day governance. It is designed as a paid SMB-friendly offering that can be adopted internally or delivered to clients as a practical AI governance starter 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5112"/>
            <w:shd w:fill="113C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112"/>
            <w:shd w:fill="113C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What the component does</w:t>
            </w:r>
          </w:p>
        </w:tc>
      </w:tr>
      <w:tr>
        <w:tc>
          <w:tcPr>
            <w:tcW w:type="dxa" w:w="2880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8 core policies</w:t>
            </w:r>
          </w:p>
        </w:tc>
        <w:tc>
          <w:tcPr>
            <w:tcW w:type="dxa" w:w="6336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Standalone licensed DOCX and matching PDF versions of the primary AI governance policies.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4 supporting standards / procedures</w:t>
            </w:r>
          </w:p>
        </w:tc>
        <w:tc>
          <w:tcPr>
            <w:tcW w:type="dxa" w:w="633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Operational documents that define logging, change control, transparency, and records/evidence expectations.</w:t>
            </w:r>
          </w:p>
        </w:tc>
      </w:tr>
      <w:tr>
        <w:tc>
          <w:tcPr>
            <w:tcW w:type="dxa" w:w="2880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1 AI use-case intake form</w:t>
            </w:r>
          </w:p>
        </w:tc>
        <w:tc>
          <w:tcPr>
            <w:tcW w:type="dxa" w:w="6336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 branded form in DOCX and XLSX for requesting and screening new AI use cases.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1 vendor questionnaire</w:t>
            </w:r>
          </w:p>
        </w:tc>
        <w:tc>
          <w:tcPr>
            <w:tcW w:type="dxa" w:w="633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The GovSecure Third-Party AI Privacy Risk Assessment in DOCX, PDF, and XLSX.</w:t>
            </w:r>
          </w:p>
        </w:tc>
      </w:tr>
      <w:tr>
        <w:tc>
          <w:tcPr>
            <w:tcW w:type="dxa" w:w="2880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1 AI system registry</w:t>
            </w:r>
          </w:p>
        </w:tc>
        <w:tc>
          <w:tcPr>
            <w:tcW w:type="dxa" w:w="6336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 standalone XLSX register to inventory approved AI systems, owners, vendors, and review status.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1 executive governance charter</w:t>
            </w:r>
          </w:p>
        </w:tc>
        <w:tc>
          <w:tcPr>
            <w:tcW w:type="dxa" w:w="633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 charter defining governance authority, membership, cadence, and outputs.</w:t>
            </w:r>
          </w:p>
        </w:tc>
      </w:tr>
    </w:tbl>
    <w:p>
      <w:pPr>
        <w:spacing w:before="200" w:after="80"/>
      </w:pPr>
      <w:r>
        <w:rPr>
          <w:rFonts w:ascii="Aptos" w:hAnsi="Aptos"/>
          <w:b/>
          <w:color w:val="113C73"/>
          <w:sz w:val="30"/>
        </w:rPr>
        <w:t>Package structure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00_Overview — offering guide and usage notes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01_Core_Policies — licensed standalone policy documents in DOCX and PDF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02_Supporting_Standards_and_Procedures — four operational standards/procedures in DOCX and PDF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03_Forms_and_Registers — use-case intake form and system registry in editable formats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04_Questionnaires — third-party AI privacy vendor questionnaire and scoring workbook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05_Governance_Charter — executive AI governance charter in DOCX and PDF</w:t>
      </w:r>
    </w:p>
    <w:p>
      <w:pPr>
        <w:spacing w:before="200" w:after="80"/>
      </w:pPr>
      <w:r>
        <w:rPr>
          <w:rFonts w:ascii="Aptos" w:hAnsi="Aptos"/>
          <w:b/>
          <w:color w:val="113C73"/>
          <w:sz w:val="30"/>
        </w:rPr>
        <w:t>Recommended deployment sequence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Adopt or tailor the Executive AI Governance Charter and AI Governance Policy first so ownership is not left floating.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Publish the Enterprise AI Acceptable Use Policy and AI Data Handling and Privacy Policy next so day-to-day use has guardrails.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Stand up the AI Use-Case Intake Form, Third-Party AI Privacy Risk Assessment, and AI System Registry so approvals and inventory start immediately.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Layer in the supporting standards and procedures for monitoring, changes, disclosure, and evidence retention once the initial intake and inventory process is running.</w:t>
      </w:r>
    </w:p>
    <w:p>
      <w:pPr>
        <w:spacing w:before="200" w:after="80"/>
      </w:pPr>
      <w:r>
        <w:rPr>
          <w:rFonts w:ascii="Aptos" w:hAnsi="Aptos"/>
          <w:b/>
          <w:color w:val="113C73"/>
          <w:sz w:val="30"/>
        </w:rPr>
        <w:t>Included file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048"/>
      </w:tblGrid>
      <w:tr>
        <w:tc>
          <w:tcPr>
            <w:tcW w:type="dxa" w:w="5112"/>
            <w:shd w:fill="113C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Folder</w:t>
            </w:r>
          </w:p>
        </w:tc>
        <w:tc>
          <w:tcPr>
            <w:tcW w:type="dxa" w:w="5112"/>
            <w:shd w:fill="113C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File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AI_Data_Handling_and_Privacy_Policy_Licensed.docx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AI_Data_Handling_and_Privacy_Policy_Licensed.pdf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AI_Governance_Policy_Licensed.docx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AI_Governance_Policy_Licensed.pdf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AI_Incident_Response_and_Monitoring_Policy_Licensed.docx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AI_Incident_Response_and_Monitoring_Policy_Licensed.pdf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AI_Risk_Assessment_and_Use-Case_Approval_Policy_Licensed.docx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AI_Risk_Assessment_and_Use-Case_Approval_Policy_Licensed.pdf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AI_Security_Policy_Licensed.docx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AI_Security_Policy_Licensed.pdf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Enterprise_AI_Acceptable_Use_Policy_Licensed.docx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Enterprise_AI_Acceptable_Use_Policy_Licensed.pdf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Human_Oversight_and_Decision-Making_Policy_Licensed.docx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Human_Oversight_and_Decision-Making_Policy_Licensed.pdf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Third-Party_-_Vendor_AI_Due_Diligence_Policy_Licensed.docx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01_Core_Policies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Third-Party_-_Vendor_AI_Due_Diligence_Policy_Licensed.pdf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02_Supporting_Standards_and_Procedures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AI_Logging_and_Monitoring_Standard.docx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02_Supporting_Standards_and_Procedures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AI_Model_and_Prompt_Change_Management_Procedure.docx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02_Supporting_Standards_and_Procedures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AI_Records_Retention_and_Evidence_Procedure.docx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02_Supporting_Standards_and_Procedures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AI_Transparency_and_Disclosure_Standard.docx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03_Forms_and_Registers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AI_System_Registry.xlsx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03_Forms_and_Registers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AI_Use_Case_Intake_Form.docx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03_Forms_and_Registers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AI_Use_Case_Intake_Form.xlsx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04_Questionnaires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GovSecure_Third_Party_AI_Privacy_Risk_Assessment.docx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04_Questionnaires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GovSecure_Third_Party_AI_Privacy_Risk_Assessment.pdf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04_Questionnaires</w:t>
            </w:r>
          </w:p>
        </w:tc>
        <w:tc>
          <w:tcPr>
            <w:tcW w:type="dxa" w:w="60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GovSecure_Third_Party_AI_Privacy_Risk_Assessment_Workbook.xlsx</w:t>
            </w:r>
          </w:p>
        </w:tc>
      </w:tr>
      <w:tr>
        <w:tc>
          <w:tcPr>
            <w:tcW w:type="dxa" w:w="316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05_Governance_Charter</w:t>
            </w:r>
          </w:p>
        </w:tc>
        <w:tc>
          <w:tcPr>
            <w:tcW w:type="dxa" w:w="6048"/>
            <w:shd w:fill="F9FB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23282D"/>
                <w:sz w:val="18"/>
              </w:rPr>
              <w:t>Executive_AI_Governance_Charter.docx</w:t>
            </w:r>
          </w:p>
        </w:tc>
      </w:tr>
    </w:tbl>
    <w:p>
      <w:pPr>
        <w:spacing w:before="200" w:after="80"/>
      </w:pPr>
      <w:r>
        <w:rPr>
          <w:rFonts w:ascii="Aptos" w:hAnsi="Aptos"/>
          <w:b/>
          <w:color w:val="113C73"/>
          <w:sz w:val="30"/>
        </w:rPr>
        <w:t>Licensing and use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License scope: This document is licensed for internal business use by the purchasing organization and its controlled affiliates unless otherwise agreed in writing.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Permitted use: The purchasing organization may adapt branding, terminology, roles, and implementation details to fit its operating model and legal environment.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Restricted use: The document may not be resold, redistributed, sublicensed, or published externally as a standalone product without written authorization from GovSecure.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Customization responsibility: The adopting organization remains responsible for tailoring the content to applicable law, sector obligations, contractual requirements, and risk appetite.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No legal advice: Materials are provided as operational governance content and do not constitute legal advice, regulatory certification, or a guarantee of compliance.</w:t>
      </w:r>
    </w:p>
    <w:p>
      <w:pPr>
        <w:pStyle w:val="BodyCustom"/>
        <w:ind w:left="259" w:hanging="259"/>
      </w:pPr>
      <w:r>
        <w:rPr>
          <w:color w:val="266DD3"/>
        </w:rPr>
        <w:t xml:space="preserve">• </w:t>
      </w:r>
      <w:r>
        <w:rPr>
          <w:rFonts w:ascii="Aptos" w:hAnsi="Aptos"/>
          <w:color w:val="23282D"/>
          <w:sz w:val="20"/>
        </w:rPr>
        <w:t>Warranty and liability: Materials are provided as-is for practical governance use. GovSecure disclaims implied warranties to the maximum extent permitted by law.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/>
        <w:color w:val="113C73"/>
        <w:sz w:val="18"/>
      </w:rPr>
      <w:t>GovSecure</w:t>
    </w:r>
    <w:r>
      <w:rPr>
        <w:rFonts w:ascii="Aptos" w:hAnsi="Aptos"/>
        <w:color w:val="5A626C"/>
        <w:sz w:val="18"/>
      </w:rPr>
      <w:t xml:space="preserve">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13C73"/>
        <w:sz w:val="24"/>
      </w:rPr>
      <w:t>GovSecure</w:t>
    </w:r>
    <w:r>
      <w:rPr>
        <w:rFonts w:ascii="Aptos" w:hAnsi="Aptos"/>
        <w:color w:val="266DD3"/>
        <w:sz w:val="20"/>
      </w:rPr>
      <w:t xml:space="preserve">  |  AI Policy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 Custom"/>
    <w:pPr>
      <w:spacing w:after="80"/>
    </w:pPr>
    <w:rPr>
      <w:rFonts w:ascii="Aptos" w:hAnsi="Aptos"/>
      <w:color w:val="23282D"/>
      <w:sz w:val="20"/>
    </w:rPr>
  </w:style>
  <w:style w:type="paragraph" w:customStyle="1" w:styleId="SmallCustom">
    <w:name w:val="Small Custom"/>
    <w:pPr>
      <w:spacing w:after="40"/>
    </w:pPr>
    <w:rPr>
      <w:rFonts w:ascii="Aptos" w:hAnsi="Aptos"/>
      <w:color w:val="5A626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