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F97FB6" w14:textId="7CDC0F8A" w:rsidR="0023399C" w:rsidRPr="0023399C" w:rsidRDefault="0023399C" w:rsidP="554F926C">
      <w:pPr>
        <w:rPr>
          <w:rFonts w:ascii="Arial" w:hAnsi="Arial" w:cs="Arial"/>
          <w:i/>
          <w:iCs/>
          <w:sz w:val="40"/>
          <w:szCs w:val="40"/>
        </w:rPr>
      </w:pPr>
      <w:r w:rsidRPr="0023399C">
        <w:rPr>
          <w:rFonts w:ascii="Arial" w:hAnsi="Arial" w:cs="Arial"/>
          <w:i/>
          <w:iCs/>
          <w:sz w:val="40"/>
          <w:szCs w:val="40"/>
        </w:rPr>
        <w:t>(rough draft – currently editing)</w:t>
      </w:r>
    </w:p>
    <w:p w14:paraId="7866297A" w14:textId="42ED11E8" w:rsidR="554F926C" w:rsidRPr="000D0A73" w:rsidRDefault="0E2C5C35" w:rsidP="554F926C">
      <w:pPr>
        <w:rPr>
          <w:rFonts w:ascii="Arial" w:hAnsi="Arial" w:cs="Arial"/>
          <w:b/>
          <w:bCs/>
          <w:sz w:val="48"/>
          <w:szCs w:val="48"/>
        </w:rPr>
      </w:pPr>
      <w:r w:rsidRPr="785FFE6C">
        <w:rPr>
          <w:rFonts w:ascii="Arial" w:hAnsi="Arial" w:cs="Arial"/>
          <w:sz w:val="48"/>
          <w:szCs w:val="48"/>
        </w:rPr>
        <w:t>Remote Code Execution</w:t>
      </w:r>
      <w:r w:rsidR="000D0A73" w:rsidRPr="785FFE6C">
        <w:rPr>
          <w:rFonts w:ascii="Arial" w:hAnsi="Arial" w:cs="Arial"/>
          <w:b/>
          <w:bCs/>
          <w:sz w:val="48"/>
          <w:szCs w:val="48"/>
        </w:rPr>
        <w:t xml:space="preserve"> </w:t>
      </w:r>
      <w:r w:rsidR="554F926C" w:rsidRPr="785FFE6C">
        <w:rPr>
          <w:rFonts w:ascii="Arial" w:eastAsia="Arial" w:hAnsi="Arial" w:cs="Arial"/>
          <w:color w:val="000000" w:themeColor="text1"/>
          <w:lang w:val="en"/>
        </w:rPr>
        <w:t>(version 1.</w:t>
      </w:r>
      <w:r w:rsidR="17A32076" w:rsidRPr="785FFE6C">
        <w:rPr>
          <w:rFonts w:ascii="Arial" w:eastAsia="Arial" w:hAnsi="Arial" w:cs="Arial"/>
          <w:color w:val="000000" w:themeColor="text1"/>
          <w:lang w:val="en"/>
        </w:rPr>
        <w:t>1</w:t>
      </w:r>
      <w:r w:rsidR="554F926C" w:rsidRPr="785FFE6C">
        <w:rPr>
          <w:rFonts w:ascii="Arial" w:eastAsia="Arial" w:hAnsi="Arial" w:cs="Arial"/>
          <w:color w:val="000000" w:themeColor="text1"/>
          <w:lang w:val="en"/>
        </w:rPr>
        <w:t>)</w:t>
      </w:r>
    </w:p>
    <w:p w14:paraId="1599DE69" w14:textId="491A0CF3" w:rsidR="0090480B" w:rsidRDefault="0090480B" w:rsidP="7B40351E">
      <w:pPr>
        <w:spacing w:afterAutospacing="1"/>
        <w:rPr>
          <w:rFonts w:ascii="Arial" w:eastAsia="Arial" w:hAnsi="Arial" w:cs="Arial"/>
          <w:b/>
          <w:bCs/>
          <w:color w:val="39434C"/>
          <w:sz w:val="28"/>
          <w:szCs w:val="28"/>
        </w:rPr>
      </w:pPr>
    </w:p>
    <w:p w14:paraId="66CF8E37" w14:textId="5D8E32C6" w:rsidR="36BEB370" w:rsidRDefault="36BEB370" w:rsidP="785FFE6C">
      <w:pPr>
        <w:spacing w:afterAutospacing="1"/>
        <w:rPr>
          <w:rFonts w:ascii="Arial" w:eastAsia="Arial" w:hAnsi="Arial" w:cs="Arial"/>
          <w:sz w:val="28"/>
          <w:szCs w:val="28"/>
        </w:rPr>
      </w:pPr>
      <w:r w:rsidRPr="785FFE6C">
        <w:rPr>
          <w:rFonts w:ascii="Arial" w:eastAsia="Arial" w:hAnsi="Arial" w:cs="Arial"/>
          <w:b/>
          <w:bCs/>
          <w:color w:val="39434C"/>
          <w:sz w:val="28"/>
          <w:szCs w:val="28"/>
        </w:rPr>
        <w:t>Cloud Service Label:  IaaS, PaaS</w:t>
      </w:r>
    </w:p>
    <w:p w14:paraId="26E50296" w14:textId="0B6FEC28" w:rsidR="785FFE6C" w:rsidRDefault="785FFE6C" w:rsidP="785FFE6C">
      <w:pPr>
        <w:spacing w:afterAutospacing="1"/>
        <w:rPr>
          <w:rFonts w:ascii="Arial" w:eastAsia="Arial" w:hAnsi="Arial" w:cs="Arial"/>
          <w:b/>
          <w:bCs/>
          <w:color w:val="39434C"/>
          <w:sz w:val="28"/>
          <w:szCs w:val="28"/>
        </w:rPr>
      </w:pPr>
    </w:p>
    <w:p w14:paraId="563B7386" w14:textId="66703C3A" w:rsidR="00FC7D75" w:rsidRPr="00FC7D75" w:rsidRDefault="00FC7D75" w:rsidP="785FFE6C">
      <w:pPr>
        <w:spacing w:afterAutospacing="1"/>
        <w:rPr>
          <w:rFonts w:ascii="Arial" w:eastAsia="Arial" w:hAnsi="Arial" w:cs="Arial"/>
          <w:sz w:val="32"/>
          <w:szCs w:val="32"/>
          <w:shd w:val="clear" w:color="auto" w:fill="FFFFFF"/>
        </w:rPr>
      </w:pPr>
      <w:r w:rsidRPr="00FC7D75">
        <w:rPr>
          <w:rFonts w:ascii="Arial" w:eastAsia="Arial" w:hAnsi="Arial" w:cs="Arial"/>
          <w:sz w:val="32"/>
          <w:szCs w:val="32"/>
          <w:shd w:val="clear" w:color="auto" w:fill="FFFFFF"/>
        </w:rPr>
        <w:t>Description</w:t>
      </w:r>
    </w:p>
    <w:p w14:paraId="0C7BF560" w14:textId="3C86D614" w:rsidR="636AF895" w:rsidRPr="00FC7D75" w:rsidRDefault="00FC7D75" w:rsidP="785FFE6C">
      <w:pPr>
        <w:spacing w:afterAutospacing="1"/>
        <w:rPr>
          <w:rFonts w:ascii="Arial" w:eastAsia="Arial" w:hAnsi="Arial" w:cs="Arial"/>
          <w:shd w:val="clear" w:color="auto" w:fill="FFFFFF"/>
        </w:rPr>
      </w:pPr>
      <w:r>
        <w:rPr>
          <w:rFonts w:ascii="Arial" w:eastAsia="Arial" w:hAnsi="Arial" w:cs="Arial"/>
          <w:shd w:val="clear" w:color="auto" w:fill="FFFFFF"/>
        </w:rPr>
        <w:t>Adversaries may be able to utilize remote code execution</w:t>
      </w:r>
    </w:p>
    <w:p w14:paraId="4A1AC105" w14:textId="65AFE721" w:rsidR="785FFE6C" w:rsidRDefault="785FFE6C" w:rsidP="785FFE6C">
      <w:pPr>
        <w:spacing w:afterAutospacing="1"/>
        <w:rPr>
          <w:rFonts w:ascii="Arial" w:eastAsia="Arial" w:hAnsi="Arial" w:cs="Arial"/>
        </w:rPr>
      </w:pPr>
    </w:p>
    <w:p w14:paraId="62D9931C" w14:textId="3D8CC1E3" w:rsidR="636AF895" w:rsidRDefault="421DC0E2" w:rsidP="614AD116">
      <w:pPr>
        <w:spacing w:afterAutospacing="1"/>
        <w:rPr>
          <w:rFonts w:ascii="Arial" w:eastAsia="Arial" w:hAnsi="Arial" w:cs="Arial"/>
          <w:sz w:val="32"/>
          <w:szCs w:val="32"/>
        </w:rPr>
      </w:pPr>
      <w:r w:rsidRPr="614AD116">
        <w:rPr>
          <w:rFonts w:ascii="Arial" w:eastAsia="Arial" w:hAnsi="Arial" w:cs="Arial"/>
          <w:sz w:val="32"/>
          <w:szCs w:val="32"/>
        </w:rPr>
        <w:t>Examples</w:t>
      </w:r>
    </w:p>
    <w:tbl>
      <w:tblPr>
        <w:tblStyle w:val="TableGrid"/>
        <w:tblW w:w="9360" w:type="dxa"/>
        <w:tblLayout w:type="fixed"/>
        <w:tblLook w:val="04A0" w:firstRow="1" w:lastRow="0" w:firstColumn="1" w:lastColumn="0" w:noHBand="0" w:noVBand="1"/>
      </w:tblPr>
      <w:tblGrid>
        <w:gridCol w:w="2715"/>
        <w:gridCol w:w="6645"/>
      </w:tblGrid>
      <w:tr w:rsidR="614AD116" w14:paraId="70A43663" w14:textId="77777777" w:rsidTr="14EC9A9E">
        <w:tc>
          <w:tcPr>
            <w:tcW w:w="2715" w:type="dxa"/>
          </w:tcPr>
          <w:p w14:paraId="1F8C4861" w14:textId="0AE9E176" w:rsidR="614AD116" w:rsidRDefault="614AD116" w:rsidP="614AD116">
            <w:pPr>
              <w:rPr>
                <w:rFonts w:ascii="Arial" w:eastAsia="Arial" w:hAnsi="Arial" w:cs="Arial"/>
              </w:rPr>
            </w:pPr>
            <w:r w:rsidRPr="614AD116">
              <w:rPr>
                <w:rFonts w:ascii="Arial" w:eastAsia="Arial" w:hAnsi="Arial" w:cs="Arial"/>
                <w:b/>
                <w:bCs/>
              </w:rPr>
              <w:t>Name</w:t>
            </w:r>
            <w:r w:rsidRPr="614AD116">
              <w:rPr>
                <w:rFonts w:ascii="Arial" w:eastAsia="Arial" w:hAnsi="Arial" w:cs="Arial"/>
              </w:rPr>
              <w:t> </w:t>
            </w:r>
          </w:p>
        </w:tc>
        <w:tc>
          <w:tcPr>
            <w:tcW w:w="6645" w:type="dxa"/>
          </w:tcPr>
          <w:p w14:paraId="2C12FF35" w14:textId="791254A7" w:rsidR="614AD116" w:rsidRDefault="614AD116" w:rsidP="614AD116">
            <w:pPr>
              <w:rPr>
                <w:rFonts w:ascii="Arial" w:eastAsia="Arial" w:hAnsi="Arial" w:cs="Arial"/>
              </w:rPr>
            </w:pPr>
            <w:r w:rsidRPr="614AD116">
              <w:rPr>
                <w:rFonts w:ascii="Arial" w:eastAsia="Arial" w:hAnsi="Arial" w:cs="Arial"/>
                <w:b/>
                <w:bCs/>
              </w:rPr>
              <w:t>Description</w:t>
            </w:r>
            <w:r w:rsidRPr="614AD116">
              <w:rPr>
                <w:rFonts w:ascii="Arial" w:eastAsia="Arial" w:hAnsi="Arial" w:cs="Arial"/>
              </w:rPr>
              <w:t> </w:t>
            </w:r>
          </w:p>
        </w:tc>
      </w:tr>
      <w:tr w:rsidR="614AD116" w14:paraId="4ADD2910" w14:textId="77777777" w:rsidTr="14EC9A9E">
        <w:trPr>
          <w:trHeight w:val="2393"/>
        </w:trPr>
        <w:tc>
          <w:tcPr>
            <w:tcW w:w="2715" w:type="dxa"/>
          </w:tcPr>
          <w:p w14:paraId="5E9E99F3" w14:textId="3EC835EF" w:rsidR="614AD116" w:rsidRPr="00B47F51" w:rsidRDefault="00B47F51" w:rsidP="00B47F51">
            <w:pPr>
              <w:pStyle w:val="Heading2"/>
              <w:shd w:val="clear" w:color="auto" w:fill="FFFFFF"/>
              <w:spacing w:before="0" w:beforeAutospacing="0" w:after="0" w:afterAutospacing="0"/>
              <w:rPr>
                <w:rFonts w:ascii="Arial" w:hAnsi="Arial" w:cs="Arial"/>
                <w:b w:val="0"/>
                <w:bCs w:val="0"/>
                <w:sz w:val="18"/>
                <w:szCs w:val="18"/>
              </w:rPr>
            </w:pPr>
            <w:r w:rsidRPr="00B47F51">
              <w:rPr>
                <w:rFonts w:ascii="Arial" w:hAnsi="Arial" w:cs="Arial"/>
                <w:b w:val="0"/>
                <w:bCs w:val="0"/>
                <w:sz w:val="18"/>
                <w:szCs w:val="18"/>
              </w:rPr>
              <w:t>CVE-2019-1372</w:t>
            </w:r>
          </w:p>
        </w:tc>
        <w:tc>
          <w:tcPr>
            <w:tcW w:w="6645" w:type="dxa"/>
          </w:tcPr>
          <w:p w14:paraId="561C02DE" w14:textId="06DECD3C" w:rsidR="614AD116" w:rsidRPr="00B47F51" w:rsidRDefault="00FC7D75" w:rsidP="614AD116">
            <w:pPr>
              <w:rPr>
                <w:rFonts w:ascii="Arial" w:hAnsi="Arial" w:cs="Arial"/>
                <w:sz w:val="18"/>
                <w:szCs w:val="18"/>
              </w:rPr>
            </w:pPr>
            <w:r>
              <w:rPr>
                <w:rFonts w:ascii="Arial" w:hAnsi="Arial" w:cs="Arial"/>
                <w:color w:val="404040" w:themeColor="text1" w:themeTint="BF"/>
                <w:sz w:val="18"/>
                <w:szCs w:val="18"/>
              </w:rPr>
              <w:t>“</w:t>
            </w:r>
            <w:r w:rsidR="00B47F51" w:rsidRPr="00B47F51">
              <w:rPr>
                <w:rFonts w:ascii="Arial" w:hAnsi="Arial" w:cs="Arial"/>
                <w:color w:val="404040" w:themeColor="text1" w:themeTint="BF"/>
                <w:sz w:val="18"/>
                <w:szCs w:val="18"/>
              </w:rPr>
              <w:t>A remote code execution vulnerability exists when Azure App Service/ Antares on Azure Stack fails to check the length of a buffer prior to copying memory to it.</w:t>
            </w:r>
            <w:r>
              <w:rPr>
                <w:rFonts w:ascii="Arial" w:hAnsi="Arial" w:cs="Arial"/>
                <w:color w:val="404040" w:themeColor="text1" w:themeTint="BF"/>
                <w:sz w:val="18"/>
                <w:szCs w:val="18"/>
              </w:rPr>
              <w:t xml:space="preserve"> </w:t>
            </w:r>
            <w:r w:rsidR="00B47F51" w:rsidRPr="00B47F51">
              <w:rPr>
                <w:rFonts w:ascii="Arial" w:hAnsi="Arial" w:cs="Arial"/>
                <w:color w:val="404040" w:themeColor="text1" w:themeTint="BF"/>
                <w:sz w:val="18"/>
                <w:szCs w:val="18"/>
              </w:rPr>
              <w:t>An attacker who successfully exploited this vulnerability could allow an unprivileged function run by the user to execute code in the context of NT AUTHORITY\system thereby escaping the Sandbox.</w:t>
            </w:r>
            <w:r>
              <w:rPr>
                <w:rFonts w:ascii="Arial" w:hAnsi="Arial" w:cs="Arial"/>
                <w:color w:val="404040" w:themeColor="text1" w:themeTint="BF"/>
                <w:sz w:val="18"/>
                <w:szCs w:val="18"/>
              </w:rPr>
              <w:t xml:space="preserve"> </w:t>
            </w:r>
            <w:r w:rsidR="00B47F51" w:rsidRPr="00B47F51">
              <w:rPr>
                <w:rFonts w:ascii="Arial" w:hAnsi="Arial" w:cs="Arial"/>
                <w:color w:val="404040" w:themeColor="text1" w:themeTint="BF"/>
                <w:sz w:val="18"/>
                <w:szCs w:val="18"/>
              </w:rPr>
              <w:t>The security update addresses the vulnerability by ensuring that Azure App Service sanitizes user inputs., aka 'Azure App Service Remote Code Execution Vulnerability'.</w:t>
            </w:r>
            <w:r>
              <w:rPr>
                <w:rFonts w:ascii="Arial" w:hAnsi="Arial" w:cs="Arial"/>
                <w:color w:val="404040" w:themeColor="text1" w:themeTint="BF"/>
                <w:sz w:val="18"/>
                <w:szCs w:val="18"/>
              </w:rPr>
              <w:t>”</w:t>
            </w:r>
          </w:p>
        </w:tc>
      </w:tr>
    </w:tbl>
    <w:p w14:paraId="60215D9A" w14:textId="77777777" w:rsidR="00551244" w:rsidRDefault="00551244" w:rsidP="614AD116">
      <w:pPr>
        <w:spacing w:afterAutospacing="1"/>
        <w:rPr>
          <w:rFonts w:ascii="Arial" w:eastAsia="Arial" w:hAnsi="Arial" w:cs="Arial"/>
        </w:rPr>
      </w:pPr>
    </w:p>
    <w:p w14:paraId="39809DE9" w14:textId="07AF0361" w:rsidR="636AF895" w:rsidRDefault="421DC0E2" w:rsidP="614AD116">
      <w:pPr>
        <w:spacing w:afterAutospacing="1"/>
        <w:rPr>
          <w:rFonts w:ascii="Arial" w:eastAsia="Arial" w:hAnsi="Arial" w:cs="Arial"/>
          <w:sz w:val="32"/>
          <w:szCs w:val="32"/>
        </w:rPr>
      </w:pPr>
      <w:r w:rsidRPr="614AD116">
        <w:rPr>
          <w:rFonts w:ascii="Arial" w:eastAsia="Arial" w:hAnsi="Arial" w:cs="Arial"/>
          <w:sz w:val="32"/>
          <w:szCs w:val="32"/>
        </w:rPr>
        <w:t>Mitigations</w:t>
      </w:r>
    </w:p>
    <w:tbl>
      <w:tblPr>
        <w:tblStyle w:val="TableGrid"/>
        <w:tblW w:w="9360" w:type="dxa"/>
        <w:tblLayout w:type="fixed"/>
        <w:tblLook w:val="04A0" w:firstRow="1" w:lastRow="0" w:firstColumn="1" w:lastColumn="0" w:noHBand="0" w:noVBand="1"/>
      </w:tblPr>
      <w:tblGrid>
        <w:gridCol w:w="1320"/>
        <w:gridCol w:w="1455"/>
        <w:gridCol w:w="6585"/>
      </w:tblGrid>
      <w:tr w:rsidR="614AD116" w14:paraId="3E9881D8" w14:textId="77777777" w:rsidTr="498F6BC1">
        <w:tc>
          <w:tcPr>
            <w:tcW w:w="2775" w:type="dxa"/>
            <w:gridSpan w:val="2"/>
          </w:tcPr>
          <w:p w14:paraId="7E12D7F2" w14:textId="7F4C2179" w:rsidR="614AD116" w:rsidRDefault="614AD116" w:rsidP="614AD116">
            <w:pPr>
              <w:rPr>
                <w:rFonts w:ascii="Arial" w:eastAsia="Arial" w:hAnsi="Arial" w:cs="Arial"/>
              </w:rPr>
            </w:pPr>
            <w:r w:rsidRPr="614AD116">
              <w:rPr>
                <w:rFonts w:ascii="Arial" w:eastAsia="Arial" w:hAnsi="Arial" w:cs="Arial"/>
                <w:b/>
                <w:bCs/>
              </w:rPr>
              <w:t>Mitigation</w:t>
            </w:r>
          </w:p>
        </w:tc>
        <w:tc>
          <w:tcPr>
            <w:tcW w:w="6585" w:type="dxa"/>
          </w:tcPr>
          <w:p w14:paraId="28BA3C87" w14:textId="44DAEF34" w:rsidR="614AD116" w:rsidRDefault="614AD116" w:rsidP="614AD116">
            <w:pPr>
              <w:rPr>
                <w:rFonts w:ascii="Arial" w:eastAsia="Arial" w:hAnsi="Arial" w:cs="Arial"/>
              </w:rPr>
            </w:pPr>
            <w:r w:rsidRPr="614AD116">
              <w:rPr>
                <w:rFonts w:ascii="Arial" w:eastAsia="Arial" w:hAnsi="Arial" w:cs="Arial"/>
                <w:b/>
                <w:bCs/>
              </w:rPr>
              <w:t>Description</w:t>
            </w:r>
            <w:r w:rsidRPr="614AD116">
              <w:rPr>
                <w:rFonts w:ascii="Arial" w:eastAsia="Arial" w:hAnsi="Arial" w:cs="Arial"/>
              </w:rPr>
              <w:t> </w:t>
            </w:r>
          </w:p>
        </w:tc>
      </w:tr>
      <w:tr w:rsidR="614AD116" w14:paraId="442B97B1" w14:textId="77777777" w:rsidTr="498F6BC1">
        <w:tc>
          <w:tcPr>
            <w:tcW w:w="2775" w:type="dxa"/>
            <w:gridSpan w:val="2"/>
          </w:tcPr>
          <w:p w14:paraId="6EEAAFD8" w14:textId="1AE596FD" w:rsidR="4989529D" w:rsidRDefault="4989529D" w:rsidP="614AD116">
            <w:pPr>
              <w:spacing w:line="259" w:lineRule="auto"/>
            </w:pPr>
            <w:r w:rsidRPr="614AD116">
              <w:rPr>
                <w:rFonts w:ascii="Arial" w:eastAsia="Arial" w:hAnsi="Arial" w:cs="Arial"/>
                <w:sz w:val="18"/>
                <w:szCs w:val="18"/>
              </w:rPr>
              <w:t>Two Factor Authentication</w:t>
            </w:r>
          </w:p>
        </w:tc>
        <w:tc>
          <w:tcPr>
            <w:tcW w:w="6585" w:type="dxa"/>
          </w:tcPr>
          <w:p w14:paraId="41A174B5" w14:textId="425F5352" w:rsidR="5244948D" w:rsidRPr="00551244" w:rsidRDefault="1ADF797D" w:rsidP="14EC9A9E">
            <w:pPr>
              <w:spacing w:line="259" w:lineRule="auto"/>
              <w:rPr>
                <w:rFonts w:ascii="Arial" w:eastAsia="Arial" w:hAnsi="Arial" w:cs="Arial"/>
                <w:color w:val="404040" w:themeColor="text1" w:themeTint="BF"/>
                <w:sz w:val="18"/>
                <w:szCs w:val="18"/>
              </w:rPr>
            </w:pPr>
            <w:r w:rsidRPr="14EC9A9E">
              <w:rPr>
                <w:rFonts w:ascii="Arial" w:eastAsia="Arial" w:hAnsi="Arial" w:cs="Arial"/>
                <w:color w:val="404040" w:themeColor="text1" w:themeTint="BF"/>
                <w:sz w:val="18"/>
                <w:szCs w:val="18"/>
              </w:rPr>
              <w:t>Use multi-factor authentication for user and privileged accounts. Do not manage Cloud portals from machines that perform user email and web browsing tasks. All users should be required to utilize two factor authentication.</w:t>
            </w:r>
          </w:p>
        </w:tc>
      </w:tr>
      <w:tr w:rsidR="14EC9A9E" w14:paraId="352A405F" w14:textId="77777777" w:rsidTr="498F6BC1">
        <w:tc>
          <w:tcPr>
            <w:tcW w:w="1320" w:type="dxa"/>
          </w:tcPr>
          <w:p w14:paraId="1F8FE55B" w14:textId="72FCDEB0" w:rsidR="14EC9A9E" w:rsidRDefault="14EC9A9E" w:rsidP="14EC9A9E">
            <w:pPr>
              <w:spacing w:line="259" w:lineRule="auto"/>
              <w:rPr>
                <w:rFonts w:ascii="Arial" w:eastAsia="Arial" w:hAnsi="Arial" w:cs="Arial"/>
                <w:sz w:val="18"/>
                <w:szCs w:val="18"/>
              </w:rPr>
            </w:pPr>
          </w:p>
        </w:tc>
        <w:tc>
          <w:tcPr>
            <w:tcW w:w="1455" w:type="dxa"/>
          </w:tcPr>
          <w:p w14:paraId="58B9E0C9" w14:textId="49ED0B99" w:rsidR="6D722E34" w:rsidRDefault="6D722E34" w:rsidP="14EC9A9E">
            <w:pPr>
              <w:rPr>
                <w:rFonts w:ascii="Arial" w:eastAsia="Arial" w:hAnsi="Arial" w:cs="Arial"/>
                <w:i/>
                <w:iCs/>
                <w:sz w:val="18"/>
                <w:szCs w:val="18"/>
              </w:rPr>
            </w:pPr>
            <w:r w:rsidRPr="14EC9A9E">
              <w:rPr>
                <w:rFonts w:ascii="Arial" w:eastAsia="Arial" w:hAnsi="Arial" w:cs="Arial"/>
                <w:i/>
                <w:iCs/>
                <w:sz w:val="18"/>
                <w:szCs w:val="18"/>
              </w:rPr>
              <w:t>AWS</w:t>
            </w:r>
          </w:p>
        </w:tc>
        <w:tc>
          <w:tcPr>
            <w:tcW w:w="6585" w:type="dxa"/>
          </w:tcPr>
          <w:p w14:paraId="47D3D08D" w14:textId="3E0850CF" w:rsidR="6D722E34" w:rsidRDefault="6D722E34" w:rsidP="14EC9A9E">
            <w:pPr>
              <w:rPr>
                <w:rFonts w:ascii="Arial" w:eastAsia="Arial" w:hAnsi="Arial" w:cs="Arial"/>
                <w:color w:val="404040" w:themeColor="text1" w:themeTint="BF"/>
                <w:sz w:val="18"/>
                <w:szCs w:val="18"/>
              </w:rPr>
            </w:pPr>
            <w:r w:rsidRPr="14EC9A9E">
              <w:rPr>
                <w:rFonts w:ascii="Arial" w:eastAsia="Arial" w:hAnsi="Arial" w:cs="Arial"/>
                <w:color w:val="404040" w:themeColor="text1" w:themeTint="BF"/>
                <w:sz w:val="18"/>
                <w:szCs w:val="18"/>
              </w:rPr>
              <w:t xml:space="preserve">This can be enforced by first creating a policy that would prohibit actions except those that allow a user to change their password or manage 2FA, then attaching a policy to a group that includes all user accounts where they can be allowed all access if they sign in with 2FA. Once these actions are completed it should be tested to verify the access is given correctly. To see full details on how to complete this view AWS documentation at: </w:t>
            </w:r>
            <w:r w:rsidRPr="14EC9A9E">
              <w:rPr>
                <w:rFonts w:ascii="Arial" w:eastAsia="Arial" w:hAnsi="Arial" w:cs="Arial"/>
                <w:b/>
                <w:bCs/>
                <w:color w:val="404040" w:themeColor="text1" w:themeTint="BF"/>
                <w:sz w:val="18"/>
                <w:szCs w:val="18"/>
              </w:rPr>
              <w:t>https://docs.aws.amazon.com/IAM/latest/UserGuide/tutorial_users-self-manage-mfa-and-creds.html.</w:t>
            </w:r>
          </w:p>
        </w:tc>
      </w:tr>
      <w:tr w:rsidR="14EC9A9E" w14:paraId="4BE63FDF" w14:textId="77777777" w:rsidTr="498F6BC1">
        <w:tc>
          <w:tcPr>
            <w:tcW w:w="1320" w:type="dxa"/>
          </w:tcPr>
          <w:p w14:paraId="4D2F3761" w14:textId="2C087E56" w:rsidR="14EC9A9E" w:rsidRDefault="14EC9A9E" w:rsidP="14EC9A9E">
            <w:pPr>
              <w:spacing w:line="259" w:lineRule="auto"/>
              <w:rPr>
                <w:rFonts w:ascii="Arial" w:eastAsia="Arial" w:hAnsi="Arial" w:cs="Arial"/>
                <w:sz w:val="18"/>
                <w:szCs w:val="18"/>
              </w:rPr>
            </w:pPr>
          </w:p>
        </w:tc>
        <w:tc>
          <w:tcPr>
            <w:tcW w:w="1455" w:type="dxa"/>
          </w:tcPr>
          <w:p w14:paraId="6CC5A661" w14:textId="04055AA1" w:rsidR="6D722E34" w:rsidRDefault="6D722E34" w:rsidP="14EC9A9E">
            <w:pPr>
              <w:rPr>
                <w:rFonts w:ascii="Arial" w:eastAsia="Arial" w:hAnsi="Arial" w:cs="Arial"/>
                <w:i/>
                <w:iCs/>
                <w:sz w:val="18"/>
                <w:szCs w:val="18"/>
              </w:rPr>
            </w:pPr>
            <w:r w:rsidRPr="14EC9A9E">
              <w:rPr>
                <w:rFonts w:ascii="Arial" w:eastAsia="Arial" w:hAnsi="Arial" w:cs="Arial"/>
                <w:i/>
                <w:iCs/>
                <w:sz w:val="18"/>
                <w:szCs w:val="18"/>
              </w:rPr>
              <w:t>Azure</w:t>
            </w:r>
          </w:p>
        </w:tc>
        <w:tc>
          <w:tcPr>
            <w:tcW w:w="6585" w:type="dxa"/>
          </w:tcPr>
          <w:p w14:paraId="07905E64" w14:textId="2468DB58" w:rsidR="6D722E34" w:rsidRDefault="6D722E34" w:rsidP="14EC9A9E">
            <w:pPr>
              <w:rPr>
                <w:rFonts w:ascii="Arial" w:eastAsia="Arial" w:hAnsi="Arial" w:cs="Arial"/>
                <w:color w:val="404040" w:themeColor="text1" w:themeTint="BF"/>
                <w:sz w:val="18"/>
                <w:szCs w:val="18"/>
              </w:rPr>
            </w:pPr>
            <w:r w:rsidRPr="14EC9A9E">
              <w:rPr>
                <w:rFonts w:ascii="Arial" w:eastAsia="Arial" w:hAnsi="Arial" w:cs="Arial"/>
                <w:color w:val="404040" w:themeColor="text1" w:themeTint="BF"/>
                <w:sz w:val="18"/>
                <w:szCs w:val="18"/>
              </w:rPr>
              <w:t xml:space="preserve">This can be done by creating a MFA registration policy. It can </w:t>
            </w:r>
            <w:proofErr w:type="spellStart"/>
            <w:r w:rsidRPr="14EC9A9E">
              <w:rPr>
                <w:rFonts w:ascii="Arial" w:eastAsia="Arial" w:hAnsi="Arial" w:cs="Arial"/>
                <w:color w:val="404040" w:themeColor="text1" w:themeTint="BF"/>
                <w:sz w:val="18"/>
                <w:szCs w:val="18"/>
              </w:rPr>
              <w:t>than</w:t>
            </w:r>
            <w:proofErr w:type="spellEnd"/>
            <w:r w:rsidRPr="14EC9A9E">
              <w:rPr>
                <w:rFonts w:ascii="Arial" w:eastAsia="Arial" w:hAnsi="Arial" w:cs="Arial"/>
                <w:color w:val="404040" w:themeColor="text1" w:themeTint="BF"/>
                <w:sz w:val="18"/>
                <w:szCs w:val="18"/>
              </w:rPr>
              <w:t xml:space="preserve"> be assigned to all users (with the ability to exclude some if need be, but is not recommended). Make sure once the policy is created and added to users that it is then being enforced, once enforced it should be tested for verification. To see </w:t>
            </w:r>
            <w:r w:rsidRPr="14EC9A9E">
              <w:rPr>
                <w:rFonts w:ascii="Arial" w:eastAsia="Arial" w:hAnsi="Arial" w:cs="Arial"/>
                <w:color w:val="404040" w:themeColor="text1" w:themeTint="BF"/>
                <w:sz w:val="18"/>
                <w:szCs w:val="18"/>
              </w:rPr>
              <w:lastRenderedPageBreak/>
              <w:t xml:space="preserve">full details on how to complete this view Azure documentation at: </w:t>
            </w:r>
            <w:r w:rsidRPr="14EC9A9E">
              <w:rPr>
                <w:rFonts w:ascii="Arial" w:eastAsia="Arial" w:hAnsi="Arial" w:cs="Arial"/>
                <w:b/>
                <w:bCs/>
                <w:color w:val="404040" w:themeColor="text1" w:themeTint="BF"/>
                <w:sz w:val="18"/>
                <w:szCs w:val="18"/>
              </w:rPr>
              <w:t>https://docs.microsoft.com/en-us/azure/active-directory/identity-protection/howto-identity-protection-configure-mfa-policy.</w:t>
            </w:r>
          </w:p>
        </w:tc>
      </w:tr>
      <w:tr w:rsidR="14EC9A9E" w14:paraId="5F3D26FD" w14:textId="77777777" w:rsidTr="498F6BC1">
        <w:tc>
          <w:tcPr>
            <w:tcW w:w="1320" w:type="dxa"/>
          </w:tcPr>
          <w:p w14:paraId="1DA256DD" w14:textId="0E35A79A" w:rsidR="14EC9A9E" w:rsidRDefault="14EC9A9E" w:rsidP="14EC9A9E">
            <w:pPr>
              <w:spacing w:line="259" w:lineRule="auto"/>
              <w:rPr>
                <w:rFonts w:ascii="Arial" w:eastAsia="Arial" w:hAnsi="Arial" w:cs="Arial"/>
                <w:sz w:val="18"/>
                <w:szCs w:val="18"/>
              </w:rPr>
            </w:pPr>
          </w:p>
        </w:tc>
        <w:tc>
          <w:tcPr>
            <w:tcW w:w="1455" w:type="dxa"/>
          </w:tcPr>
          <w:p w14:paraId="79EA28A6" w14:textId="76E98382" w:rsidR="6D722E34" w:rsidRDefault="6D722E34" w:rsidP="14EC9A9E">
            <w:pPr>
              <w:rPr>
                <w:rFonts w:ascii="Arial" w:eastAsia="Arial" w:hAnsi="Arial" w:cs="Arial"/>
                <w:i/>
                <w:iCs/>
                <w:sz w:val="18"/>
                <w:szCs w:val="18"/>
              </w:rPr>
            </w:pPr>
            <w:r w:rsidRPr="14EC9A9E">
              <w:rPr>
                <w:rFonts w:ascii="Arial" w:eastAsia="Arial" w:hAnsi="Arial" w:cs="Arial"/>
                <w:i/>
                <w:iCs/>
                <w:sz w:val="18"/>
                <w:szCs w:val="18"/>
              </w:rPr>
              <w:t>GCP</w:t>
            </w:r>
          </w:p>
        </w:tc>
        <w:tc>
          <w:tcPr>
            <w:tcW w:w="6585" w:type="dxa"/>
          </w:tcPr>
          <w:p w14:paraId="6C35F558" w14:textId="5821222E" w:rsidR="6D722E34" w:rsidRDefault="6D722E34" w:rsidP="14EC9A9E">
            <w:pPr>
              <w:rPr>
                <w:rFonts w:ascii="Arial" w:eastAsia="Arial" w:hAnsi="Arial" w:cs="Arial"/>
                <w:color w:val="404040" w:themeColor="text1" w:themeTint="BF"/>
                <w:sz w:val="18"/>
                <w:szCs w:val="18"/>
              </w:rPr>
            </w:pPr>
            <w:r w:rsidRPr="14EC9A9E">
              <w:rPr>
                <w:rFonts w:ascii="Arial" w:eastAsia="Arial" w:hAnsi="Arial" w:cs="Arial"/>
                <w:color w:val="404040" w:themeColor="text1" w:themeTint="BF"/>
                <w:sz w:val="18"/>
                <w:szCs w:val="18"/>
              </w:rPr>
              <w:t xml:space="preserve">This can be done by first enabling it on the current account being used by admin to assign the roles, then enable two factor on an instance by instance or project by project basis, then assigning the requirements based on IAM roles and applying it to all users. To see full details on how to complete this view Azure documentation at: </w:t>
            </w:r>
            <w:r w:rsidRPr="14EC9A9E">
              <w:rPr>
                <w:rFonts w:ascii="Arial" w:eastAsia="Arial" w:hAnsi="Arial" w:cs="Arial"/>
                <w:b/>
                <w:bCs/>
                <w:color w:val="404040" w:themeColor="text1" w:themeTint="BF"/>
                <w:sz w:val="18"/>
                <w:szCs w:val="18"/>
              </w:rPr>
              <w:t>https://cloud.google.com/compute/docs/oslogin/setup-two-factor-authentication.</w:t>
            </w:r>
          </w:p>
        </w:tc>
      </w:tr>
      <w:tr w:rsidR="614AD116" w14:paraId="0AA5A0E1" w14:textId="77777777" w:rsidTr="498F6BC1">
        <w:tc>
          <w:tcPr>
            <w:tcW w:w="2775" w:type="dxa"/>
            <w:gridSpan w:val="2"/>
          </w:tcPr>
          <w:p w14:paraId="53AA187A" w14:textId="78AFF671" w:rsidR="5244948D" w:rsidRDefault="00551244" w:rsidP="614AD116">
            <w:pPr>
              <w:spacing w:line="259" w:lineRule="auto"/>
              <w:rPr>
                <w:rFonts w:ascii="Arial" w:eastAsia="Arial" w:hAnsi="Arial" w:cs="Arial"/>
                <w:sz w:val="18"/>
                <w:szCs w:val="18"/>
              </w:rPr>
            </w:pPr>
            <w:r>
              <w:rPr>
                <w:rFonts w:ascii="Arial" w:eastAsia="Arial" w:hAnsi="Arial" w:cs="Arial"/>
                <w:sz w:val="18"/>
                <w:szCs w:val="18"/>
              </w:rPr>
              <w:t>Enable GKE Metadata Server</w:t>
            </w:r>
          </w:p>
        </w:tc>
        <w:tc>
          <w:tcPr>
            <w:tcW w:w="6585" w:type="dxa"/>
          </w:tcPr>
          <w:p w14:paraId="052E576A" w14:textId="46A1714C" w:rsidR="5244948D" w:rsidRPr="00551244" w:rsidRDefault="00551244" w:rsidP="614AD116">
            <w:pPr>
              <w:rPr>
                <w:rFonts w:ascii="Arial" w:hAnsi="Arial" w:cs="Arial"/>
                <w:color w:val="404040" w:themeColor="text1" w:themeTint="BF"/>
                <w:sz w:val="18"/>
                <w:szCs w:val="18"/>
              </w:rPr>
            </w:pPr>
            <w:r w:rsidRPr="14EC9A9E">
              <w:rPr>
                <w:rFonts w:ascii="Arial" w:hAnsi="Arial" w:cs="Arial"/>
                <w:color w:val="404040" w:themeColor="text1" w:themeTint="BF"/>
                <w:sz w:val="18"/>
                <w:szCs w:val="18"/>
              </w:rPr>
              <w:t>Consider enabling GKE Metadata Server which improves security and replaces Compute Engine VM instances Metadata Server.</w:t>
            </w:r>
          </w:p>
        </w:tc>
      </w:tr>
      <w:tr w:rsidR="614AD116" w14:paraId="6DA16246" w14:textId="77777777" w:rsidTr="498F6BC1">
        <w:tc>
          <w:tcPr>
            <w:tcW w:w="2775" w:type="dxa"/>
            <w:gridSpan w:val="2"/>
          </w:tcPr>
          <w:p w14:paraId="03B509A9" w14:textId="5A2A3034" w:rsidR="5244948D" w:rsidRDefault="5244948D" w:rsidP="614AD116">
            <w:pPr>
              <w:rPr>
                <w:rFonts w:ascii="Arial" w:eastAsia="Arial" w:hAnsi="Arial" w:cs="Arial"/>
                <w:sz w:val="18"/>
                <w:szCs w:val="18"/>
              </w:rPr>
            </w:pPr>
            <w:r w:rsidRPr="614AD116">
              <w:rPr>
                <w:rFonts w:ascii="Arial" w:eastAsia="Arial" w:hAnsi="Arial" w:cs="Arial"/>
                <w:sz w:val="18"/>
                <w:szCs w:val="18"/>
              </w:rPr>
              <w:t xml:space="preserve">Least Privilege </w:t>
            </w:r>
          </w:p>
        </w:tc>
        <w:tc>
          <w:tcPr>
            <w:tcW w:w="6585" w:type="dxa"/>
          </w:tcPr>
          <w:p w14:paraId="71BF393A" w14:textId="58B8257D" w:rsidR="5244948D" w:rsidRPr="00551244" w:rsidRDefault="1020CDDE" w:rsidP="498F6BC1">
            <w:pPr>
              <w:rPr>
                <w:rFonts w:ascii="Arial" w:eastAsia="Arial" w:hAnsi="Arial" w:cs="Arial"/>
                <w:color w:val="222A35" w:themeColor="text2" w:themeShade="80"/>
                <w:sz w:val="18"/>
                <w:szCs w:val="18"/>
              </w:rPr>
            </w:pPr>
            <w:r w:rsidRPr="498F6BC1">
              <w:rPr>
                <w:rFonts w:ascii="Arial" w:eastAsia="Arial" w:hAnsi="Arial" w:cs="Arial"/>
                <w:sz w:val="18"/>
                <w:szCs w:val="18"/>
              </w:rPr>
              <w:t>All access given to users in the cloud environment should be assigned by the necessary privileges needed for team members to complete their job responsibilities.</w:t>
            </w:r>
            <w:r w:rsidRPr="498F6BC1">
              <w:rPr>
                <w:rStyle w:val="normaltextrun"/>
                <w:rFonts w:ascii="Arial" w:eastAsia="Arial" w:hAnsi="Arial" w:cs="Arial"/>
                <w:color w:val="222A35" w:themeColor="text2" w:themeShade="80"/>
                <w:sz w:val="18"/>
                <w:szCs w:val="18"/>
              </w:rPr>
              <w:t xml:space="preserve"> Ensure that temporary access tokens are issued rather than permanent credentials, especially when access is being granted to entities outside of the internal security boundary .</w:t>
            </w:r>
          </w:p>
        </w:tc>
      </w:tr>
      <w:tr w:rsidR="498F6BC1" w14:paraId="0FD102F0" w14:textId="77777777" w:rsidTr="498F6BC1">
        <w:tc>
          <w:tcPr>
            <w:tcW w:w="1320" w:type="dxa"/>
          </w:tcPr>
          <w:p w14:paraId="0B264B95" w14:textId="4CD1E690" w:rsidR="498F6BC1" w:rsidRDefault="498F6BC1" w:rsidP="498F6BC1">
            <w:pPr>
              <w:rPr>
                <w:rFonts w:ascii="Arial" w:eastAsia="Arial" w:hAnsi="Arial" w:cs="Arial"/>
                <w:sz w:val="18"/>
                <w:szCs w:val="18"/>
              </w:rPr>
            </w:pPr>
          </w:p>
        </w:tc>
        <w:tc>
          <w:tcPr>
            <w:tcW w:w="1455" w:type="dxa"/>
          </w:tcPr>
          <w:p w14:paraId="78285B0D" w14:textId="6A4EBBDA" w:rsidR="1020CDDE" w:rsidRDefault="1020CDDE" w:rsidP="498F6BC1">
            <w:pPr>
              <w:rPr>
                <w:rFonts w:ascii="Arial" w:eastAsia="Arial" w:hAnsi="Arial" w:cs="Arial"/>
                <w:sz w:val="18"/>
                <w:szCs w:val="18"/>
              </w:rPr>
            </w:pPr>
            <w:r w:rsidRPr="498F6BC1">
              <w:rPr>
                <w:rFonts w:ascii="Arial" w:eastAsia="Arial" w:hAnsi="Arial" w:cs="Arial"/>
                <w:sz w:val="18"/>
                <w:szCs w:val="18"/>
              </w:rPr>
              <w:t>AWS</w:t>
            </w:r>
          </w:p>
        </w:tc>
        <w:tc>
          <w:tcPr>
            <w:tcW w:w="6585" w:type="dxa"/>
          </w:tcPr>
          <w:p w14:paraId="7E1544F6" w14:textId="39575788" w:rsidR="1020CDDE" w:rsidRDefault="1020CDDE" w:rsidP="498F6BC1">
            <w:pPr>
              <w:rPr>
                <w:rFonts w:ascii="Arial" w:eastAsia="Arial" w:hAnsi="Arial" w:cs="Arial"/>
                <w:sz w:val="18"/>
                <w:szCs w:val="18"/>
              </w:rPr>
            </w:pPr>
            <w:r w:rsidRPr="498F6BC1">
              <w:rPr>
                <w:rFonts w:ascii="Arial" w:eastAsia="Arial" w:hAnsi="Arial" w:cs="Arial"/>
                <w:sz w:val="18"/>
                <w:szCs w:val="18"/>
              </w:rPr>
              <w:t xml:space="preserve">To implement least privilege in an AWS environment IAM policies will be used. This gives the ability to allow users to perform list, read, write, permissions management, or tagging actions. AWS suggests utilizing </w:t>
            </w:r>
            <w:r w:rsidRPr="498F6BC1">
              <w:rPr>
                <w:rFonts w:ascii="Arial" w:eastAsia="Arial" w:hAnsi="Arial" w:cs="Arial"/>
                <w:i/>
                <w:iCs/>
                <w:sz w:val="18"/>
                <w:szCs w:val="18"/>
              </w:rPr>
              <w:t>last accessed information</w:t>
            </w:r>
            <w:r w:rsidRPr="498F6BC1">
              <w:rPr>
                <w:rFonts w:ascii="Arial" w:eastAsia="Arial" w:hAnsi="Arial" w:cs="Arial"/>
                <w:sz w:val="18"/>
                <w:szCs w:val="18"/>
              </w:rPr>
              <w:t xml:space="preserve"> and A</w:t>
            </w:r>
            <w:r w:rsidRPr="498F6BC1">
              <w:rPr>
                <w:rFonts w:ascii="Arial" w:eastAsia="Arial" w:hAnsi="Arial" w:cs="Arial"/>
                <w:i/>
                <w:iCs/>
                <w:sz w:val="18"/>
                <w:szCs w:val="18"/>
              </w:rPr>
              <w:t>WS CloudTrail event history</w:t>
            </w:r>
            <w:r w:rsidRPr="498F6BC1">
              <w:rPr>
                <w:rFonts w:ascii="Arial" w:eastAsia="Arial" w:hAnsi="Arial" w:cs="Arial"/>
                <w:sz w:val="18"/>
                <w:szCs w:val="18"/>
              </w:rPr>
              <w:t xml:space="preserve"> to get a better understanding of privileges that might be needed or reduced based on a specific role. Full details can be found at </w:t>
            </w:r>
            <w:r w:rsidRPr="498F6BC1">
              <w:rPr>
                <w:rFonts w:ascii="Arial" w:eastAsia="Arial" w:hAnsi="Arial" w:cs="Arial"/>
                <w:b/>
                <w:bCs/>
                <w:sz w:val="18"/>
                <w:szCs w:val="18"/>
              </w:rPr>
              <w:t>https://docs.aws.amazon.com/IAM/latest/UserGuide/best-practices.html#grant-least-privilege.</w:t>
            </w:r>
          </w:p>
        </w:tc>
      </w:tr>
      <w:tr w:rsidR="498F6BC1" w14:paraId="2CCB8B3A" w14:textId="77777777" w:rsidTr="498F6BC1">
        <w:tc>
          <w:tcPr>
            <w:tcW w:w="1320" w:type="dxa"/>
          </w:tcPr>
          <w:p w14:paraId="2DE3E3A2" w14:textId="09645F11" w:rsidR="498F6BC1" w:rsidRDefault="498F6BC1" w:rsidP="498F6BC1">
            <w:pPr>
              <w:rPr>
                <w:rFonts w:ascii="Arial" w:eastAsia="Arial" w:hAnsi="Arial" w:cs="Arial"/>
                <w:sz w:val="18"/>
                <w:szCs w:val="18"/>
              </w:rPr>
            </w:pPr>
          </w:p>
        </w:tc>
        <w:tc>
          <w:tcPr>
            <w:tcW w:w="1455" w:type="dxa"/>
          </w:tcPr>
          <w:p w14:paraId="0861223B" w14:textId="34A58E88" w:rsidR="1020CDDE" w:rsidRDefault="1020CDDE" w:rsidP="498F6BC1">
            <w:pPr>
              <w:rPr>
                <w:rFonts w:ascii="Arial" w:eastAsia="Arial" w:hAnsi="Arial" w:cs="Arial"/>
                <w:sz w:val="18"/>
                <w:szCs w:val="18"/>
              </w:rPr>
            </w:pPr>
            <w:r w:rsidRPr="498F6BC1">
              <w:rPr>
                <w:rFonts w:ascii="Arial" w:eastAsia="Arial" w:hAnsi="Arial" w:cs="Arial"/>
                <w:sz w:val="18"/>
                <w:szCs w:val="18"/>
              </w:rPr>
              <w:t>Azure</w:t>
            </w:r>
          </w:p>
        </w:tc>
        <w:tc>
          <w:tcPr>
            <w:tcW w:w="6585" w:type="dxa"/>
          </w:tcPr>
          <w:p w14:paraId="687955F8" w14:textId="3E57CD86" w:rsidR="1020CDDE" w:rsidRDefault="1020CDDE" w:rsidP="498F6BC1">
            <w:pPr>
              <w:rPr>
                <w:rFonts w:ascii="Arial" w:eastAsia="Arial" w:hAnsi="Arial" w:cs="Arial"/>
                <w:sz w:val="18"/>
                <w:szCs w:val="18"/>
              </w:rPr>
            </w:pPr>
            <w:r w:rsidRPr="498F6BC1">
              <w:rPr>
                <w:rFonts w:ascii="Arial" w:eastAsia="Arial" w:hAnsi="Arial" w:cs="Arial"/>
                <w:sz w:val="18"/>
                <w:szCs w:val="18"/>
              </w:rPr>
              <w:t>To implement least privilege in an Azure environment Azure Active Directory roles will be used. Azure outlines different tasks and the least privileged role that are suggested to be associated with the task. Those details can be found at:</w:t>
            </w:r>
            <w:r w:rsidRPr="498F6BC1">
              <w:rPr>
                <w:rFonts w:ascii="Arial" w:eastAsia="Arial" w:hAnsi="Arial" w:cs="Arial"/>
                <w:b/>
                <w:bCs/>
                <w:sz w:val="18"/>
                <w:szCs w:val="18"/>
              </w:rPr>
              <w:t xml:space="preserve"> https://docs.microsoft.com/en-us/azure/active-directory/users-groups-roles/roles-delegate-by-task.</w:t>
            </w:r>
            <w:r w:rsidRPr="498F6BC1">
              <w:rPr>
                <w:rFonts w:ascii="Arial" w:eastAsia="Arial" w:hAnsi="Arial" w:cs="Arial"/>
                <w:sz w:val="18"/>
                <w:szCs w:val="18"/>
              </w:rPr>
              <w:t xml:space="preserve"> To learn how to assign specific roles it can be done via the Azure Active Directory Portal. Instructions on how to assign roles can be found here: </w:t>
            </w:r>
            <w:r w:rsidRPr="498F6BC1">
              <w:rPr>
                <w:rFonts w:ascii="Arial" w:eastAsia="Arial" w:hAnsi="Arial" w:cs="Arial"/>
                <w:b/>
                <w:bCs/>
                <w:sz w:val="18"/>
                <w:szCs w:val="18"/>
              </w:rPr>
              <w:t>https://docs.microsoft.com/en-us/azure/active-directory/users-groups-roles/directory-manage-roles-portal.</w:t>
            </w:r>
          </w:p>
        </w:tc>
      </w:tr>
      <w:tr w:rsidR="498F6BC1" w14:paraId="02DFB4C6" w14:textId="77777777" w:rsidTr="498F6BC1">
        <w:tc>
          <w:tcPr>
            <w:tcW w:w="1320" w:type="dxa"/>
          </w:tcPr>
          <w:p w14:paraId="75D186F0" w14:textId="53FE834A" w:rsidR="498F6BC1" w:rsidRDefault="498F6BC1" w:rsidP="498F6BC1">
            <w:pPr>
              <w:rPr>
                <w:rFonts w:ascii="Arial" w:eastAsia="Arial" w:hAnsi="Arial" w:cs="Arial"/>
                <w:sz w:val="18"/>
                <w:szCs w:val="18"/>
              </w:rPr>
            </w:pPr>
          </w:p>
        </w:tc>
        <w:tc>
          <w:tcPr>
            <w:tcW w:w="1455" w:type="dxa"/>
          </w:tcPr>
          <w:p w14:paraId="5E2FE702" w14:textId="5E96984C" w:rsidR="1020CDDE" w:rsidRDefault="1020CDDE" w:rsidP="498F6BC1">
            <w:pPr>
              <w:rPr>
                <w:rFonts w:ascii="Arial" w:eastAsia="Arial" w:hAnsi="Arial" w:cs="Arial"/>
                <w:sz w:val="18"/>
                <w:szCs w:val="18"/>
              </w:rPr>
            </w:pPr>
            <w:r w:rsidRPr="498F6BC1">
              <w:rPr>
                <w:rFonts w:ascii="Arial" w:eastAsia="Arial" w:hAnsi="Arial" w:cs="Arial"/>
                <w:sz w:val="18"/>
                <w:szCs w:val="18"/>
              </w:rPr>
              <w:t>GCP</w:t>
            </w:r>
          </w:p>
        </w:tc>
        <w:tc>
          <w:tcPr>
            <w:tcW w:w="6585" w:type="dxa"/>
          </w:tcPr>
          <w:p w14:paraId="7B7FD41C" w14:textId="7456A182" w:rsidR="1020CDDE" w:rsidRDefault="1020CDDE" w:rsidP="498F6BC1">
            <w:pPr>
              <w:rPr>
                <w:rFonts w:ascii="Arial" w:eastAsia="Arial" w:hAnsi="Arial" w:cs="Arial"/>
                <w:sz w:val="18"/>
                <w:szCs w:val="18"/>
              </w:rPr>
            </w:pPr>
            <w:r w:rsidRPr="498F6BC1">
              <w:rPr>
                <w:rFonts w:ascii="Arial" w:eastAsia="Arial" w:hAnsi="Arial" w:cs="Arial"/>
                <w:sz w:val="18"/>
                <w:szCs w:val="18"/>
              </w:rPr>
              <w:t xml:space="preserve">To implement least privilege in GCP it is recommended to use predefined roles (which allow for granular access permissions) instead of primitive roles (roles/owner, roles/editor, and roles/viewer). Full details on the difference between types of roles can be found here: </w:t>
            </w:r>
            <w:r w:rsidRPr="498F6BC1">
              <w:rPr>
                <w:rFonts w:ascii="Arial" w:eastAsia="Arial" w:hAnsi="Arial" w:cs="Arial"/>
                <w:b/>
                <w:bCs/>
                <w:sz w:val="18"/>
                <w:szCs w:val="18"/>
              </w:rPr>
              <w:t>https://cloud.google.com/iam/docs/understanding-roles.</w:t>
            </w:r>
            <w:r w:rsidRPr="498F6BC1">
              <w:rPr>
                <w:rFonts w:ascii="Arial" w:eastAsia="Arial" w:hAnsi="Arial" w:cs="Arial"/>
                <w:sz w:val="18"/>
                <w:szCs w:val="18"/>
              </w:rPr>
              <w:t xml:space="preserve"> To assign these roles IAM service accounts are used and complete details can be found at: </w:t>
            </w:r>
            <w:r w:rsidRPr="498F6BC1">
              <w:rPr>
                <w:rFonts w:ascii="Arial" w:eastAsia="Arial" w:hAnsi="Arial" w:cs="Arial"/>
                <w:b/>
                <w:bCs/>
                <w:sz w:val="18"/>
                <w:szCs w:val="18"/>
              </w:rPr>
              <w:t>https://cloud.google.com/iam/docs/using-iam-securely#least_privilege.</w:t>
            </w:r>
          </w:p>
        </w:tc>
      </w:tr>
    </w:tbl>
    <w:p w14:paraId="38B23E9C" w14:textId="72A436C4" w:rsidR="636AF895" w:rsidRDefault="636AF895" w:rsidP="614AD116">
      <w:pPr>
        <w:spacing w:afterAutospacing="1"/>
        <w:rPr>
          <w:rFonts w:ascii="Arial" w:eastAsia="Arial" w:hAnsi="Arial" w:cs="Arial"/>
          <w:sz w:val="36"/>
          <w:szCs w:val="36"/>
        </w:rPr>
      </w:pPr>
      <w:r w:rsidRPr="614AD116">
        <w:rPr>
          <w:rFonts w:ascii="Arial" w:eastAsia="Arial" w:hAnsi="Arial" w:cs="Arial"/>
          <w:color w:val="000000" w:themeColor="text1"/>
          <w:sz w:val="36"/>
          <w:szCs w:val="36"/>
        </w:rPr>
        <w:t xml:space="preserve"> </w:t>
      </w:r>
    </w:p>
    <w:p w14:paraId="4176B89F" w14:textId="5D95B0F6" w:rsidR="00551244" w:rsidRDefault="636AF895" w:rsidP="614AD116">
      <w:pPr>
        <w:rPr>
          <w:rFonts w:ascii="Arial" w:eastAsia="Arial" w:hAnsi="Arial" w:cs="Arial"/>
          <w:sz w:val="32"/>
          <w:szCs w:val="32"/>
        </w:rPr>
      </w:pPr>
      <w:r w:rsidRPr="614AD116">
        <w:rPr>
          <w:rFonts w:ascii="Arial" w:eastAsia="Arial" w:hAnsi="Arial" w:cs="Arial"/>
          <w:sz w:val="32"/>
          <w:szCs w:val="32"/>
        </w:rPr>
        <w:t>Detection</w:t>
      </w:r>
    </w:p>
    <w:p w14:paraId="52B2B465" w14:textId="77777777" w:rsidR="00FC7D75" w:rsidRDefault="00FC7D75" w:rsidP="614AD116">
      <w:pPr>
        <w:rPr>
          <w:rFonts w:ascii="Arial" w:eastAsia="Arial" w:hAnsi="Arial" w:cs="Arial"/>
          <w:sz w:val="36"/>
          <w:szCs w:val="36"/>
        </w:rPr>
      </w:pPr>
    </w:p>
    <w:p w14:paraId="228F1C2C" w14:textId="3A71F953" w:rsidR="636AF895" w:rsidRPr="00551244" w:rsidRDefault="636AF895" w:rsidP="614AD116">
      <w:pPr>
        <w:rPr>
          <w:rFonts w:ascii="Arial" w:eastAsia="Arial" w:hAnsi="Arial" w:cs="Arial"/>
          <w:sz w:val="36"/>
          <w:szCs w:val="36"/>
        </w:rPr>
      </w:pPr>
      <w:r w:rsidRPr="256786E8">
        <w:rPr>
          <w:rFonts w:ascii="Arial" w:eastAsia="Arial" w:hAnsi="Arial" w:cs="Arial"/>
          <w:sz w:val="32"/>
          <w:szCs w:val="32"/>
        </w:rPr>
        <w:t>References</w:t>
      </w:r>
    </w:p>
    <w:p w14:paraId="08723B68" w14:textId="7071ECC8" w:rsidR="4AF440CC" w:rsidRPr="00FC7D75" w:rsidRDefault="00FC7D75" w:rsidP="00FC7D75">
      <w:pPr>
        <w:pStyle w:val="ListParagraph"/>
        <w:numPr>
          <w:ilvl w:val="0"/>
          <w:numId w:val="1"/>
        </w:numPr>
        <w:rPr>
          <w:rFonts w:ascii="Arial" w:hAnsi="Arial" w:cs="Arial"/>
        </w:rPr>
      </w:pPr>
      <w:r w:rsidRPr="00FC7D75">
        <w:rPr>
          <w:rFonts w:ascii="Arial" w:hAnsi="Arial" w:cs="Arial"/>
        </w:rPr>
        <w:t xml:space="preserve">https://cve.mitre.org/cgi-bin/cvename.cgi?name=CVE-2019-1372. </w:t>
      </w:r>
      <w:r w:rsidR="4AF440CC" w:rsidRPr="00FC7D75">
        <w:rPr>
          <w:rFonts w:ascii="Arial" w:eastAsia="Arial" w:hAnsi="Arial" w:cs="Arial"/>
        </w:rPr>
        <w:t>Accessed July 2, 2020.</w:t>
      </w:r>
    </w:p>
    <w:p w14:paraId="53ABA591" w14:textId="485D2347" w:rsidR="636AF895" w:rsidRDefault="636AF895" w:rsidP="636AF895">
      <w:pPr>
        <w:rPr>
          <w:rFonts w:ascii="Arial" w:hAnsi="Arial" w:cs="Arial"/>
          <w:sz w:val="44"/>
          <w:szCs w:val="44"/>
        </w:rPr>
      </w:pPr>
    </w:p>
    <w:sectPr w:rsidR="636AF895" w:rsidSect="00020259">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45D090" w14:textId="77777777" w:rsidR="007B0A8C" w:rsidRDefault="007B0A8C" w:rsidP="00CF4587">
      <w:r>
        <w:separator/>
      </w:r>
    </w:p>
  </w:endnote>
  <w:endnote w:type="continuationSeparator" w:id="0">
    <w:p w14:paraId="694B78B0" w14:textId="77777777" w:rsidR="007B0A8C" w:rsidRDefault="007B0A8C" w:rsidP="00CF45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784BD3" w14:textId="77777777" w:rsidR="00CF4587" w:rsidRDefault="00CF458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195EC1" w14:textId="77777777" w:rsidR="00237E36" w:rsidRPr="00237E36" w:rsidRDefault="00237E36" w:rsidP="00237E36">
    <w:pPr>
      <w:pStyle w:val="Footer"/>
      <w:rPr>
        <w:rFonts w:ascii="Segoe UI" w:hAnsi="Segoe UI" w:cs="Segoe UI"/>
        <w:color w:val="000000"/>
        <w:sz w:val="27"/>
        <w:szCs w:val="27"/>
        <w:shd w:val="clear" w:color="auto" w:fill="FFFFFF"/>
      </w:rPr>
    </w:pPr>
    <w:r w:rsidRPr="00237E36">
      <w:rPr>
        <w:rFonts w:ascii="Segoe UI" w:hAnsi="Segoe UI" w:cs="Segoe UI"/>
        <w:color w:val="000000"/>
        <w:sz w:val="27"/>
        <w:szCs w:val="27"/>
        <w:shd w:val="clear" w:color="auto" w:fill="FFFFFF"/>
      </w:rPr>
      <w:t>(© 2022 The MITRE Corporation All Rights Reserved. Draft Content</w:t>
    </w:r>
  </w:p>
  <w:p w14:paraId="5F774A6E" w14:textId="4754F9E4" w:rsidR="00CF4587" w:rsidRDefault="00237E36" w:rsidP="00237E36">
    <w:pPr>
      <w:pStyle w:val="Footer"/>
    </w:pPr>
    <w:r w:rsidRPr="00237E36">
      <w:rPr>
        <w:rFonts w:ascii="Segoe UI" w:hAnsi="Segoe UI" w:cs="Segoe UI"/>
        <w:color w:val="000000"/>
        <w:sz w:val="27"/>
        <w:szCs w:val="27"/>
        <w:shd w:val="clear" w:color="auto" w:fill="FFFFFF"/>
      </w:rPr>
      <w:t>Submission for Consideration by the CAVEAT Working Group)</w:t>
    </w:r>
  </w:p>
  <w:p w14:paraId="06A6F44D" w14:textId="77777777" w:rsidR="00CF4587" w:rsidRDefault="00CF458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562353" w14:textId="77777777" w:rsidR="00CF4587" w:rsidRDefault="00CF45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A02406" w14:textId="77777777" w:rsidR="007B0A8C" w:rsidRDefault="007B0A8C" w:rsidP="00CF4587">
      <w:r>
        <w:separator/>
      </w:r>
    </w:p>
  </w:footnote>
  <w:footnote w:type="continuationSeparator" w:id="0">
    <w:p w14:paraId="6EB1CE72" w14:textId="77777777" w:rsidR="007B0A8C" w:rsidRDefault="007B0A8C" w:rsidP="00CF45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F625F7" w14:textId="77777777" w:rsidR="00CF4587" w:rsidRDefault="00CF458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0C63EE" w14:textId="77777777" w:rsidR="00CF4587" w:rsidRDefault="00CF458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E65974" w14:textId="77777777" w:rsidR="00CF4587" w:rsidRDefault="00CF458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5D278C"/>
    <w:multiLevelType w:val="hybridMultilevel"/>
    <w:tmpl w:val="DB32C050"/>
    <w:lvl w:ilvl="0" w:tplc="4C6AEA3C">
      <w:start w:val="1"/>
      <w:numFmt w:val="decimal"/>
      <w:lvlText w:val="%1."/>
      <w:lvlJc w:val="left"/>
      <w:pPr>
        <w:ind w:left="720" w:hanging="360"/>
      </w:pPr>
    </w:lvl>
    <w:lvl w:ilvl="1" w:tplc="8D0A6550">
      <w:start w:val="1"/>
      <w:numFmt w:val="lowerLetter"/>
      <w:lvlText w:val="%2."/>
      <w:lvlJc w:val="left"/>
      <w:pPr>
        <w:ind w:left="1440" w:hanging="360"/>
      </w:pPr>
    </w:lvl>
    <w:lvl w:ilvl="2" w:tplc="0638EA2E">
      <w:start w:val="1"/>
      <w:numFmt w:val="lowerRoman"/>
      <w:lvlText w:val="%3."/>
      <w:lvlJc w:val="right"/>
      <w:pPr>
        <w:ind w:left="2160" w:hanging="180"/>
      </w:pPr>
    </w:lvl>
    <w:lvl w:ilvl="3" w:tplc="98BABF04">
      <w:start w:val="1"/>
      <w:numFmt w:val="decimal"/>
      <w:lvlText w:val="%4."/>
      <w:lvlJc w:val="left"/>
      <w:pPr>
        <w:ind w:left="2880" w:hanging="360"/>
      </w:pPr>
    </w:lvl>
    <w:lvl w:ilvl="4" w:tplc="93B65178">
      <w:start w:val="1"/>
      <w:numFmt w:val="lowerLetter"/>
      <w:lvlText w:val="%5."/>
      <w:lvlJc w:val="left"/>
      <w:pPr>
        <w:ind w:left="3600" w:hanging="360"/>
      </w:pPr>
    </w:lvl>
    <w:lvl w:ilvl="5" w:tplc="EDB49C14">
      <w:start w:val="1"/>
      <w:numFmt w:val="lowerRoman"/>
      <w:lvlText w:val="%6."/>
      <w:lvlJc w:val="right"/>
      <w:pPr>
        <w:ind w:left="4320" w:hanging="180"/>
      </w:pPr>
    </w:lvl>
    <w:lvl w:ilvl="6" w:tplc="23DE7A1C">
      <w:start w:val="1"/>
      <w:numFmt w:val="decimal"/>
      <w:lvlText w:val="%7."/>
      <w:lvlJc w:val="left"/>
      <w:pPr>
        <w:ind w:left="5040" w:hanging="360"/>
      </w:pPr>
    </w:lvl>
    <w:lvl w:ilvl="7" w:tplc="0BD0AC38">
      <w:start w:val="1"/>
      <w:numFmt w:val="lowerLetter"/>
      <w:lvlText w:val="%8."/>
      <w:lvlJc w:val="left"/>
      <w:pPr>
        <w:ind w:left="5760" w:hanging="360"/>
      </w:pPr>
    </w:lvl>
    <w:lvl w:ilvl="8" w:tplc="728246C2">
      <w:start w:val="1"/>
      <w:numFmt w:val="lowerRoman"/>
      <w:lvlText w:val="%9."/>
      <w:lvlJc w:val="right"/>
      <w:pPr>
        <w:ind w:left="6480" w:hanging="180"/>
      </w:pPr>
    </w:lvl>
  </w:abstractNum>
  <w:num w:numId="1" w16cid:durableId="16083878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80B"/>
    <w:rsid w:val="00020259"/>
    <w:rsid w:val="000D0A73"/>
    <w:rsid w:val="0023399C"/>
    <w:rsid w:val="00237E36"/>
    <w:rsid w:val="005357E3"/>
    <w:rsid w:val="00551244"/>
    <w:rsid w:val="007B0A8C"/>
    <w:rsid w:val="0090480B"/>
    <w:rsid w:val="00A14E6E"/>
    <w:rsid w:val="00A6505C"/>
    <w:rsid w:val="00B47F51"/>
    <w:rsid w:val="00B85476"/>
    <w:rsid w:val="00C56CCD"/>
    <w:rsid w:val="00CE09F8"/>
    <w:rsid w:val="00CF4587"/>
    <w:rsid w:val="00FC7D75"/>
    <w:rsid w:val="01A55AD6"/>
    <w:rsid w:val="0276884B"/>
    <w:rsid w:val="033A1DB5"/>
    <w:rsid w:val="05EB7782"/>
    <w:rsid w:val="0E2C5C35"/>
    <w:rsid w:val="1020CDDE"/>
    <w:rsid w:val="13A82934"/>
    <w:rsid w:val="14C908BE"/>
    <w:rsid w:val="14EC9A9E"/>
    <w:rsid w:val="16F744E2"/>
    <w:rsid w:val="17A32076"/>
    <w:rsid w:val="1ADF797D"/>
    <w:rsid w:val="1EAC02AB"/>
    <w:rsid w:val="213312D6"/>
    <w:rsid w:val="22D14428"/>
    <w:rsid w:val="23EBA975"/>
    <w:rsid w:val="2493B1D4"/>
    <w:rsid w:val="24DCE3B6"/>
    <w:rsid w:val="256786E8"/>
    <w:rsid w:val="2AEFE2C1"/>
    <w:rsid w:val="2CF8878B"/>
    <w:rsid w:val="2E1297CA"/>
    <w:rsid w:val="2FAA2F7A"/>
    <w:rsid w:val="32940173"/>
    <w:rsid w:val="33354D29"/>
    <w:rsid w:val="352BCE0F"/>
    <w:rsid w:val="354FDF50"/>
    <w:rsid w:val="36BEB370"/>
    <w:rsid w:val="4013468F"/>
    <w:rsid w:val="402727A0"/>
    <w:rsid w:val="41E18F41"/>
    <w:rsid w:val="421DC0E2"/>
    <w:rsid w:val="43381EC1"/>
    <w:rsid w:val="4656F133"/>
    <w:rsid w:val="4701B131"/>
    <w:rsid w:val="47456AC4"/>
    <w:rsid w:val="482E0390"/>
    <w:rsid w:val="4852439C"/>
    <w:rsid w:val="4989529D"/>
    <w:rsid w:val="498F6BC1"/>
    <w:rsid w:val="4A476DE1"/>
    <w:rsid w:val="4AF440CC"/>
    <w:rsid w:val="4B1D8149"/>
    <w:rsid w:val="50CD7F0E"/>
    <w:rsid w:val="5244948D"/>
    <w:rsid w:val="554F926C"/>
    <w:rsid w:val="5826B53E"/>
    <w:rsid w:val="584A6FAC"/>
    <w:rsid w:val="58F35CFE"/>
    <w:rsid w:val="5B59543E"/>
    <w:rsid w:val="5C85AD58"/>
    <w:rsid w:val="5CCAEB39"/>
    <w:rsid w:val="5D1D354E"/>
    <w:rsid w:val="5EA78A6C"/>
    <w:rsid w:val="5EF14EC8"/>
    <w:rsid w:val="614AD116"/>
    <w:rsid w:val="6203230B"/>
    <w:rsid w:val="636AF895"/>
    <w:rsid w:val="63FD23B7"/>
    <w:rsid w:val="6D722E34"/>
    <w:rsid w:val="70632D81"/>
    <w:rsid w:val="785FFE6C"/>
    <w:rsid w:val="7891AF71"/>
    <w:rsid w:val="7991DE26"/>
    <w:rsid w:val="7B0C39AC"/>
    <w:rsid w:val="7B40351E"/>
    <w:rsid w:val="7DA5C9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A288D1C"/>
  <w15:chartTrackingRefBased/>
  <w15:docId w15:val="{91269ED2-4A67-A947-8113-F23D304309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47F51"/>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90480B"/>
  </w:style>
  <w:style w:type="character" w:customStyle="1" w:styleId="eop">
    <w:name w:val="eop"/>
    <w:basedOn w:val="DefaultParagraphFont"/>
    <w:rsid w:val="0090480B"/>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rsid w:val="00B47F51"/>
    <w:rPr>
      <w:rFonts w:ascii="Times New Roman" w:eastAsia="Times New Roman" w:hAnsi="Times New Roman" w:cs="Times New Roman"/>
      <w:b/>
      <w:bCs/>
      <w:sz w:val="36"/>
      <w:szCs w:val="36"/>
    </w:rPr>
  </w:style>
  <w:style w:type="paragraph" w:styleId="Header">
    <w:name w:val="header"/>
    <w:basedOn w:val="Normal"/>
    <w:link w:val="HeaderChar"/>
    <w:uiPriority w:val="99"/>
    <w:unhideWhenUsed/>
    <w:rsid w:val="00CF4587"/>
    <w:pPr>
      <w:tabs>
        <w:tab w:val="center" w:pos="4680"/>
        <w:tab w:val="right" w:pos="9360"/>
      </w:tabs>
    </w:pPr>
  </w:style>
  <w:style w:type="character" w:customStyle="1" w:styleId="HeaderChar">
    <w:name w:val="Header Char"/>
    <w:basedOn w:val="DefaultParagraphFont"/>
    <w:link w:val="Header"/>
    <w:uiPriority w:val="99"/>
    <w:rsid w:val="00CF4587"/>
  </w:style>
  <w:style w:type="paragraph" w:styleId="Footer">
    <w:name w:val="footer"/>
    <w:basedOn w:val="Normal"/>
    <w:link w:val="FooterChar"/>
    <w:uiPriority w:val="99"/>
    <w:unhideWhenUsed/>
    <w:rsid w:val="00CF4587"/>
    <w:pPr>
      <w:tabs>
        <w:tab w:val="center" w:pos="4680"/>
        <w:tab w:val="right" w:pos="9360"/>
      </w:tabs>
    </w:pPr>
  </w:style>
  <w:style w:type="character" w:customStyle="1" w:styleId="FooterChar">
    <w:name w:val="Footer Char"/>
    <w:basedOn w:val="DefaultParagraphFont"/>
    <w:link w:val="Footer"/>
    <w:uiPriority w:val="99"/>
    <w:rsid w:val="00CF45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8579182">
      <w:bodyDiv w:val="1"/>
      <w:marLeft w:val="0"/>
      <w:marRight w:val="0"/>
      <w:marTop w:val="0"/>
      <w:marBottom w:val="0"/>
      <w:divBdr>
        <w:top w:val="none" w:sz="0" w:space="0" w:color="auto"/>
        <w:left w:val="none" w:sz="0" w:space="0" w:color="auto"/>
        <w:bottom w:val="none" w:sz="0" w:space="0" w:color="auto"/>
        <w:right w:val="none" w:sz="0" w:space="0" w:color="auto"/>
      </w:divBdr>
    </w:div>
    <w:div w:id="753815447">
      <w:bodyDiv w:val="1"/>
      <w:marLeft w:val="0"/>
      <w:marRight w:val="0"/>
      <w:marTop w:val="0"/>
      <w:marBottom w:val="0"/>
      <w:divBdr>
        <w:top w:val="none" w:sz="0" w:space="0" w:color="auto"/>
        <w:left w:val="none" w:sz="0" w:space="0" w:color="auto"/>
        <w:bottom w:val="none" w:sz="0" w:space="0" w:color="auto"/>
        <w:right w:val="none" w:sz="0" w:space="0" w:color="auto"/>
      </w:divBdr>
    </w:div>
    <w:div w:id="774863918">
      <w:bodyDiv w:val="1"/>
      <w:marLeft w:val="0"/>
      <w:marRight w:val="0"/>
      <w:marTop w:val="0"/>
      <w:marBottom w:val="0"/>
      <w:divBdr>
        <w:top w:val="none" w:sz="0" w:space="0" w:color="auto"/>
        <w:left w:val="none" w:sz="0" w:space="0" w:color="auto"/>
        <w:bottom w:val="none" w:sz="0" w:space="0" w:color="auto"/>
        <w:right w:val="none" w:sz="0" w:space="0" w:color="auto"/>
      </w:divBdr>
    </w:div>
    <w:div w:id="1433816342">
      <w:bodyDiv w:val="1"/>
      <w:marLeft w:val="0"/>
      <w:marRight w:val="0"/>
      <w:marTop w:val="0"/>
      <w:marBottom w:val="0"/>
      <w:divBdr>
        <w:top w:val="none" w:sz="0" w:space="0" w:color="auto"/>
        <w:left w:val="none" w:sz="0" w:space="0" w:color="auto"/>
        <w:bottom w:val="none" w:sz="0" w:space="0" w:color="auto"/>
        <w:right w:val="none" w:sz="0" w:space="0" w:color="auto"/>
      </w:divBdr>
    </w:div>
    <w:div w:id="1758476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4FC9CA0C54A41409B0D90331A9488C4" ma:contentTypeVersion="5" ma:contentTypeDescription="Create a new document." ma:contentTypeScope="" ma:versionID="eb39cc2bf1108171dc7178d4f2c48811">
  <xsd:schema xmlns:xsd="http://www.w3.org/2001/XMLSchema" xmlns:xs="http://www.w3.org/2001/XMLSchema" xmlns:p="http://schemas.microsoft.com/office/2006/metadata/properties" xmlns:ns2="fe6b97ea-0ea6-4e05-9a07-4828535c10ac" targetNamespace="http://schemas.microsoft.com/office/2006/metadata/properties" ma:root="true" ma:fieldsID="65a33df8e80977e9a2af49132e990c60" ns2:_="">
    <xsd:import namespace="fe6b97ea-0ea6-4e05-9a07-4828535c10a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6b97ea-0ea6-4e05-9a07-4828535c10a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9CF8E4F-00AB-4613-B6F7-94629E5AE7E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e6b97ea-0ea6-4e05-9a07-4828535c10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9C8DF35-1882-47D4-B97C-706338BF506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0B92CF7-C35D-4DA2-8A4E-AA3E0461E52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703</Words>
  <Characters>4011</Characters>
  <Application>Microsoft Office Word</Application>
  <DocSecurity>0</DocSecurity>
  <Lines>33</Lines>
  <Paragraphs>9</Paragraphs>
  <ScaleCrop>false</ScaleCrop>
  <Company/>
  <LinksUpToDate>false</LinksUpToDate>
  <CharactersWithSpaces>4705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 Kerry S.</dc:creator>
  <cp:keywords/>
  <dc:description/>
  <cp:lastModifiedBy>Kurt Seifried</cp:lastModifiedBy>
  <cp:revision>11</cp:revision>
  <dcterms:created xsi:type="dcterms:W3CDTF">2020-07-09T19:03:00Z</dcterms:created>
  <dcterms:modified xsi:type="dcterms:W3CDTF">2023-12-25T17:19:00Z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0x01010044FC9CA0C54A41409B0D90331A9488C4</vt:lpwstr>
  </property>
</Properties>
</file>