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84A9" w14:textId="3B7876C9" w:rsidR="00CE13A4" w:rsidRPr="00CE13A4" w:rsidRDefault="00CE13A4" w:rsidP="0D96478B">
      <w:pPr>
        <w:shd w:val="clear" w:color="auto" w:fill="FFFFFF" w:themeFill="background1"/>
        <w:spacing w:after="100" w:afterAutospacing="1"/>
        <w:outlineLvl w:val="0"/>
        <w:rPr>
          <w:rFonts w:ascii="Arial" w:eastAsia="Arial" w:hAnsi="Arial" w:cs="Arial"/>
          <w:kern w:val="36"/>
          <w:sz w:val="48"/>
          <w:szCs w:val="48"/>
        </w:rPr>
      </w:pPr>
      <w:r w:rsidRPr="0D96478B">
        <w:rPr>
          <w:rFonts w:ascii="Arial" w:eastAsia="Arial" w:hAnsi="Arial" w:cs="Arial"/>
          <w:kern w:val="36"/>
          <w:sz w:val="48"/>
          <w:szCs w:val="48"/>
        </w:rPr>
        <w:t xml:space="preserve">Revert Cloud Instance </w:t>
      </w:r>
      <w:r w:rsidR="3BDDD1A7" w:rsidRPr="0D96478B">
        <w:rPr>
          <w:rFonts w:ascii="Arial" w:eastAsia="Arial" w:hAnsi="Arial" w:cs="Arial"/>
          <w:color w:val="000000" w:themeColor="text1"/>
          <w:lang w:val="en"/>
        </w:rPr>
        <w:t>(version 1.0)</w:t>
      </w:r>
    </w:p>
    <w:p w14:paraId="7E961C47" w14:textId="4E736352" w:rsidR="2A7F610B" w:rsidRDefault="2A7F610B" w:rsidP="0D96478B">
      <w:pPr>
        <w:shd w:val="clear" w:color="auto" w:fill="FFFFFF" w:themeFill="background1"/>
        <w:spacing w:afterAutospacing="1"/>
        <w:outlineLvl w:val="0"/>
        <w:rPr>
          <w:rFonts w:ascii="Arial" w:eastAsia="Arial" w:hAnsi="Arial" w:cs="Arial"/>
          <w:lang w:val="en"/>
        </w:rPr>
      </w:pPr>
    </w:p>
    <w:p w14:paraId="31C87337" w14:textId="1BF25DB6" w:rsidR="2A7F610B" w:rsidRDefault="5880DA9A" w:rsidP="0D96478B">
      <w:pPr>
        <w:spacing w:afterAutospacing="1"/>
        <w:rPr>
          <w:rFonts w:ascii="Arial" w:eastAsia="Arial" w:hAnsi="Arial" w:cs="Arial"/>
          <w:sz w:val="28"/>
          <w:szCs w:val="28"/>
        </w:rPr>
      </w:pPr>
      <w:r w:rsidRPr="0D96478B">
        <w:rPr>
          <w:rFonts w:ascii="Arial" w:eastAsia="Arial" w:hAnsi="Arial" w:cs="Arial"/>
          <w:b/>
          <w:bCs/>
          <w:color w:val="39434C"/>
          <w:sz w:val="28"/>
          <w:szCs w:val="28"/>
        </w:rPr>
        <w:t>Cloud Service Label:  IaaS, PaaS</w:t>
      </w:r>
    </w:p>
    <w:p w14:paraId="1DB5B705" w14:textId="4D2DB14C" w:rsidR="0D96478B" w:rsidRDefault="0D96478B" w:rsidP="0D96478B">
      <w:pPr>
        <w:spacing w:afterAutospacing="1"/>
        <w:rPr>
          <w:rFonts w:ascii="Arial" w:eastAsia="Arial" w:hAnsi="Arial" w:cs="Arial"/>
          <w:b/>
          <w:bCs/>
          <w:color w:val="39434C"/>
          <w:sz w:val="28"/>
          <w:szCs w:val="28"/>
        </w:rPr>
      </w:pPr>
    </w:p>
    <w:p w14:paraId="01D09B35" w14:textId="1B8A5359" w:rsidR="6F295437" w:rsidRDefault="6F295437" w:rsidP="0D96478B">
      <w:pPr>
        <w:shd w:val="clear" w:color="auto" w:fill="FFFFFF" w:themeFill="background1"/>
        <w:spacing w:afterAutospacing="1"/>
        <w:rPr>
          <w:rFonts w:ascii="Arial" w:eastAsia="Arial" w:hAnsi="Arial" w:cs="Arial"/>
        </w:rPr>
      </w:pPr>
      <w:r w:rsidRPr="0D96478B">
        <w:rPr>
          <w:rFonts w:ascii="Arial" w:eastAsia="Arial" w:hAnsi="Arial" w:cs="Arial"/>
          <w:sz w:val="32"/>
          <w:szCs w:val="32"/>
        </w:rPr>
        <w:t>Description</w:t>
      </w:r>
    </w:p>
    <w:p w14:paraId="360A0927" w14:textId="221413C3" w:rsidR="00CE13A4" w:rsidRPr="00CE13A4" w:rsidRDefault="68B57A14" w:rsidP="0D96478B">
      <w:pPr>
        <w:shd w:val="clear" w:color="auto" w:fill="FFFFFF" w:themeFill="background1"/>
        <w:spacing w:after="100" w:afterAutospacing="1"/>
        <w:rPr>
          <w:rFonts w:ascii="Arial" w:eastAsia="Arial" w:hAnsi="Arial" w:cs="Arial"/>
          <w:sz w:val="18"/>
          <w:szCs w:val="18"/>
          <w:vertAlign w:val="superscript"/>
        </w:rPr>
      </w:pPr>
      <w:r w:rsidRPr="0D96478B">
        <w:rPr>
          <w:rFonts w:ascii="Arial" w:eastAsia="Arial" w:hAnsi="Arial" w:cs="Arial"/>
        </w:rPr>
        <w:t>An adversary may revert changes made to a cloud instance after they have performed malicious activities in attempt to evade detection and remove evidence of their presence. In highly virtualized environments, such as cloud-based infrastructure, this may be easily facilitated using restoration from VM or data storage snapshots through the cloud management dashboard. Another variation of this technique is to utilize temporary storage attached to the compute instance. Most cloud providers provide various types of storage including persistent, local, and/or ephemeral, with the latter types often reset upon stop/restart of the VM.</w:t>
      </w:r>
    </w:p>
    <w:p w14:paraId="62467A6F" w14:textId="4476E14A" w:rsidR="2A7F610B" w:rsidRDefault="2A7F610B" w:rsidP="0D96478B">
      <w:pPr>
        <w:shd w:val="clear" w:color="auto" w:fill="FFFFFF" w:themeFill="background1"/>
        <w:spacing w:afterAutospacing="1"/>
        <w:rPr>
          <w:rFonts w:ascii="Arial" w:eastAsia="Arial" w:hAnsi="Arial" w:cs="Arial"/>
          <w:sz w:val="18"/>
          <w:szCs w:val="18"/>
          <w:vertAlign w:val="superscript"/>
        </w:rPr>
      </w:pPr>
    </w:p>
    <w:p w14:paraId="3687E2E2" w14:textId="0C0CCF37" w:rsidR="2A7F610B" w:rsidRDefault="718F98C6" w:rsidP="0D96478B">
      <w:pPr>
        <w:spacing w:afterAutospacing="1"/>
        <w:rPr>
          <w:rFonts w:ascii="Arial" w:eastAsia="Arial" w:hAnsi="Arial" w:cs="Arial"/>
          <w:sz w:val="32"/>
          <w:szCs w:val="32"/>
        </w:rPr>
      </w:pPr>
      <w:r w:rsidRPr="0D96478B">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0D96478B" w14:paraId="5DC16352" w14:textId="77777777" w:rsidTr="0D96478B">
        <w:tc>
          <w:tcPr>
            <w:tcW w:w="4680" w:type="dxa"/>
          </w:tcPr>
          <w:p w14:paraId="4242ECD3" w14:textId="5D09A8AB" w:rsidR="0D96478B" w:rsidRDefault="0D96478B" w:rsidP="0D96478B">
            <w:pPr>
              <w:rPr>
                <w:rFonts w:ascii="Arial" w:eastAsia="Arial" w:hAnsi="Arial" w:cs="Arial"/>
              </w:rPr>
            </w:pPr>
            <w:r w:rsidRPr="0D96478B">
              <w:rPr>
                <w:rFonts w:ascii="Arial" w:eastAsia="Arial" w:hAnsi="Arial" w:cs="Arial"/>
                <w:b/>
                <w:bCs/>
              </w:rPr>
              <w:t>Name</w:t>
            </w:r>
            <w:r w:rsidRPr="0D96478B">
              <w:rPr>
                <w:rFonts w:ascii="Arial" w:eastAsia="Arial" w:hAnsi="Arial" w:cs="Arial"/>
              </w:rPr>
              <w:t> </w:t>
            </w:r>
          </w:p>
        </w:tc>
        <w:tc>
          <w:tcPr>
            <w:tcW w:w="4680" w:type="dxa"/>
          </w:tcPr>
          <w:p w14:paraId="1064CB15" w14:textId="3D8953F5" w:rsidR="0D96478B" w:rsidRDefault="0D96478B" w:rsidP="0D96478B">
            <w:pPr>
              <w:rPr>
                <w:rFonts w:ascii="Arial" w:eastAsia="Arial" w:hAnsi="Arial" w:cs="Arial"/>
              </w:rPr>
            </w:pPr>
            <w:r w:rsidRPr="0D96478B">
              <w:rPr>
                <w:rFonts w:ascii="Arial" w:eastAsia="Arial" w:hAnsi="Arial" w:cs="Arial"/>
                <w:b/>
                <w:bCs/>
              </w:rPr>
              <w:t>Description</w:t>
            </w:r>
            <w:r w:rsidRPr="0D96478B">
              <w:rPr>
                <w:rFonts w:ascii="Arial" w:eastAsia="Arial" w:hAnsi="Arial" w:cs="Arial"/>
              </w:rPr>
              <w:t> </w:t>
            </w:r>
          </w:p>
        </w:tc>
      </w:tr>
      <w:tr w:rsidR="0D96478B" w14:paraId="19F4C891" w14:textId="77777777" w:rsidTr="0D96478B">
        <w:tc>
          <w:tcPr>
            <w:tcW w:w="4680" w:type="dxa"/>
          </w:tcPr>
          <w:p w14:paraId="2DEA7014" w14:textId="11F598FC" w:rsidR="0D96478B" w:rsidRDefault="0D96478B" w:rsidP="0D96478B">
            <w:pPr>
              <w:rPr>
                <w:rFonts w:ascii="Arial" w:eastAsia="Arial" w:hAnsi="Arial" w:cs="Arial"/>
                <w:sz w:val="18"/>
                <w:szCs w:val="18"/>
              </w:rPr>
            </w:pPr>
          </w:p>
        </w:tc>
        <w:tc>
          <w:tcPr>
            <w:tcW w:w="4680" w:type="dxa"/>
          </w:tcPr>
          <w:p w14:paraId="44141075" w14:textId="32A994B0" w:rsidR="0D96478B" w:rsidRDefault="0D96478B" w:rsidP="0D96478B">
            <w:pPr>
              <w:rPr>
                <w:rFonts w:ascii="Arial" w:eastAsia="Arial" w:hAnsi="Arial" w:cs="Arial"/>
                <w:color w:val="404040" w:themeColor="text1" w:themeTint="BF"/>
                <w:sz w:val="18"/>
                <w:szCs w:val="18"/>
              </w:rPr>
            </w:pPr>
          </w:p>
        </w:tc>
      </w:tr>
    </w:tbl>
    <w:p w14:paraId="78073D4C" w14:textId="6ACE9470" w:rsidR="2A7F610B" w:rsidRDefault="2A7F610B" w:rsidP="0D96478B">
      <w:pPr>
        <w:spacing w:afterAutospacing="1"/>
        <w:rPr>
          <w:rFonts w:ascii="Arial" w:eastAsia="Arial" w:hAnsi="Arial" w:cs="Arial"/>
        </w:rPr>
      </w:pPr>
    </w:p>
    <w:p w14:paraId="458F396D" w14:textId="00184F8D" w:rsidR="2A7F610B" w:rsidRDefault="718F98C6" w:rsidP="0D96478B">
      <w:pPr>
        <w:spacing w:afterAutospacing="1"/>
        <w:rPr>
          <w:rFonts w:ascii="Arial" w:eastAsia="Arial" w:hAnsi="Arial" w:cs="Arial"/>
          <w:sz w:val="32"/>
          <w:szCs w:val="32"/>
        </w:rPr>
      </w:pPr>
      <w:r w:rsidRPr="0D96478B">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0D96478B" w14:paraId="6BFDDEC2" w14:textId="77777777" w:rsidTr="0D96478B">
        <w:tc>
          <w:tcPr>
            <w:tcW w:w="4680" w:type="dxa"/>
          </w:tcPr>
          <w:p w14:paraId="5A0C3AEA" w14:textId="2170BCC7" w:rsidR="0D96478B" w:rsidRDefault="0D96478B" w:rsidP="0D96478B">
            <w:pPr>
              <w:rPr>
                <w:rFonts w:ascii="Arial" w:eastAsia="Arial" w:hAnsi="Arial" w:cs="Arial"/>
              </w:rPr>
            </w:pPr>
            <w:r w:rsidRPr="0D96478B">
              <w:rPr>
                <w:rFonts w:ascii="Arial" w:eastAsia="Arial" w:hAnsi="Arial" w:cs="Arial"/>
                <w:b/>
                <w:bCs/>
              </w:rPr>
              <w:t>Mitigation</w:t>
            </w:r>
          </w:p>
        </w:tc>
        <w:tc>
          <w:tcPr>
            <w:tcW w:w="4680" w:type="dxa"/>
          </w:tcPr>
          <w:p w14:paraId="47362B2F" w14:textId="39125F33" w:rsidR="0D96478B" w:rsidRDefault="0D96478B" w:rsidP="0D96478B">
            <w:pPr>
              <w:rPr>
                <w:rFonts w:ascii="Arial" w:eastAsia="Arial" w:hAnsi="Arial" w:cs="Arial"/>
              </w:rPr>
            </w:pPr>
            <w:r w:rsidRPr="0D96478B">
              <w:rPr>
                <w:rFonts w:ascii="Arial" w:eastAsia="Arial" w:hAnsi="Arial" w:cs="Arial"/>
                <w:b/>
                <w:bCs/>
              </w:rPr>
              <w:t>Description</w:t>
            </w:r>
            <w:r w:rsidRPr="0D96478B">
              <w:rPr>
                <w:rFonts w:ascii="Arial" w:eastAsia="Arial" w:hAnsi="Arial" w:cs="Arial"/>
              </w:rPr>
              <w:t> </w:t>
            </w:r>
          </w:p>
        </w:tc>
      </w:tr>
      <w:tr w:rsidR="0D96478B" w14:paraId="3350AFB2" w14:textId="77777777" w:rsidTr="0D96478B">
        <w:tc>
          <w:tcPr>
            <w:tcW w:w="4680" w:type="dxa"/>
          </w:tcPr>
          <w:p w14:paraId="2D4C8EF2" w14:textId="2B8333FF" w:rsidR="0D96478B" w:rsidRDefault="0D96478B" w:rsidP="0D96478B">
            <w:pPr>
              <w:rPr>
                <w:rFonts w:ascii="Arial" w:eastAsia="Arial" w:hAnsi="Arial" w:cs="Arial"/>
                <w:sz w:val="18"/>
                <w:szCs w:val="18"/>
              </w:rPr>
            </w:pPr>
          </w:p>
        </w:tc>
        <w:tc>
          <w:tcPr>
            <w:tcW w:w="4680" w:type="dxa"/>
          </w:tcPr>
          <w:p w14:paraId="778E0107" w14:textId="18F1CEB1" w:rsidR="267234E2" w:rsidRDefault="267234E2" w:rsidP="0D96478B">
            <w:pPr>
              <w:shd w:val="clear" w:color="auto" w:fill="FFFFFF" w:themeFill="background1"/>
              <w:spacing w:afterAutospacing="1"/>
              <w:rPr>
                <w:rFonts w:ascii="Arial" w:eastAsia="Arial" w:hAnsi="Arial" w:cs="Arial"/>
                <w:color w:val="404040" w:themeColor="text1" w:themeTint="BF"/>
                <w:sz w:val="18"/>
                <w:szCs w:val="18"/>
              </w:rPr>
            </w:pPr>
            <w:r w:rsidRPr="0D96478B">
              <w:rPr>
                <w:rFonts w:ascii="Arial" w:eastAsia="Arial" w:hAnsi="Arial" w:cs="Arial"/>
                <w:color w:val="404040" w:themeColor="text1" w:themeTint="BF"/>
                <w:sz w:val="18"/>
                <w:szCs w:val="18"/>
              </w:rPr>
              <w:t>This type of attack technique cannot be easily mitigated with preventive controls since it is based on the abuse of system features.</w:t>
            </w:r>
          </w:p>
        </w:tc>
      </w:tr>
    </w:tbl>
    <w:p w14:paraId="70BEE019" w14:textId="348D6940" w:rsidR="2A7F610B" w:rsidRDefault="2A7F610B" w:rsidP="0D96478B">
      <w:pPr>
        <w:spacing w:afterAutospacing="1"/>
      </w:pPr>
    </w:p>
    <w:p w14:paraId="3E321AD9" w14:textId="6D8AAA7F" w:rsidR="2A7F610B" w:rsidRDefault="2A7F610B" w:rsidP="0D96478B">
      <w:pPr>
        <w:shd w:val="clear" w:color="auto" w:fill="FFFFFF" w:themeFill="background1"/>
        <w:spacing w:afterAutospacing="1"/>
        <w:outlineLvl w:val="1"/>
        <w:rPr>
          <w:rFonts w:ascii="Arial" w:eastAsia="Arial" w:hAnsi="Arial" w:cs="Arial"/>
          <w:sz w:val="36"/>
          <w:szCs w:val="36"/>
        </w:rPr>
      </w:pPr>
      <w:r w:rsidRPr="0D96478B">
        <w:rPr>
          <w:rFonts w:ascii="Arial" w:eastAsia="Arial" w:hAnsi="Arial" w:cs="Arial"/>
          <w:sz w:val="32"/>
          <w:szCs w:val="32"/>
        </w:rPr>
        <w:t>Detection</w:t>
      </w:r>
    </w:p>
    <w:p w14:paraId="351B7622" w14:textId="77777777" w:rsidR="00CE13A4" w:rsidRPr="00CE13A4" w:rsidRDefault="2A7F610B" w:rsidP="0D96478B">
      <w:pPr>
        <w:shd w:val="clear" w:color="auto" w:fill="FFFFFF" w:themeFill="background1"/>
        <w:spacing w:after="100" w:afterAutospacing="1"/>
        <w:rPr>
          <w:rFonts w:ascii="Arial" w:eastAsia="Arial" w:hAnsi="Arial" w:cs="Arial"/>
        </w:rPr>
      </w:pPr>
      <w:r w:rsidRPr="0D96478B">
        <w:rPr>
          <w:rFonts w:ascii="Arial" w:eastAsia="Arial" w:hAnsi="Arial" w:cs="Arial"/>
        </w:rPr>
        <w:t xml:space="preserve">Establish centralized logging of instance activity, which can be used to monitor and review system events even after reverting to a snapshot, rolling back changes, or changing persistence/type of storage. Monitor specifically for events related to snapshots and rollbacks and VM configuration changes, that are occurring outside of normal activity. To reduce false positives, valid change management procedures could introduce a known identifier that is logged with the change (e.g. tag or header) if </w:t>
      </w:r>
      <w:r w:rsidRPr="0D96478B">
        <w:rPr>
          <w:rFonts w:ascii="Arial" w:eastAsia="Arial" w:hAnsi="Arial" w:cs="Arial"/>
        </w:rPr>
        <w:lastRenderedPageBreak/>
        <w:t>supported by the cloud provider, to help distinguish valid, expected actions from malicious ones.</w:t>
      </w:r>
    </w:p>
    <w:p w14:paraId="797177A0" w14:textId="11E3BBC7" w:rsidR="2A7F610B" w:rsidRDefault="2A7F610B" w:rsidP="0D96478B">
      <w:pPr>
        <w:shd w:val="clear" w:color="auto" w:fill="FFFFFF" w:themeFill="background1"/>
        <w:spacing w:afterAutospacing="1"/>
        <w:rPr>
          <w:rFonts w:ascii="Arial" w:eastAsia="Arial" w:hAnsi="Arial" w:cs="Arial"/>
        </w:rPr>
      </w:pPr>
    </w:p>
    <w:p w14:paraId="798FD2E3" w14:textId="77777777" w:rsidR="00CE13A4" w:rsidRPr="00CE13A4" w:rsidRDefault="2A7F610B" w:rsidP="0D96478B">
      <w:pPr>
        <w:shd w:val="clear" w:color="auto" w:fill="FFFFFF" w:themeFill="background1"/>
        <w:spacing w:after="100" w:afterAutospacing="1"/>
        <w:outlineLvl w:val="1"/>
        <w:rPr>
          <w:rFonts w:ascii="Arial" w:eastAsia="Arial" w:hAnsi="Arial" w:cs="Arial"/>
          <w:sz w:val="36"/>
          <w:szCs w:val="36"/>
        </w:rPr>
      </w:pPr>
      <w:r w:rsidRPr="0D96478B">
        <w:rPr>
          <w:rFonts w:ascii="Arial" w:eastAsia="Arial" w:hAnsi="Arial" w:cs="Arial"/>
          <w:sz w:val="32"/>
          <w:szCs w:val="32"/>
        </w:rPr>
        <w:t>References</w:t>
      </w:r>
    </w:p>
    <w:p w14:paraId="15693D2E" w14:textId="63C12659" w:rsidR="00000000" w:rsidRDefault="00000000" w:rsidP="0D96478B">
      <w:pPr>
        <w:shd w:val="clear" w:color="auto" w:fill="FFFFFF" w:themeFill="background1"/>
        <w:spacing w:afterAutospacing="1"/>
        <w:outlineLvl w:val="1"/>
        <w:rPr>
          <w:rFonts w:ascii="Arial" w:eastAsia="Arial" w:hAnsi="Arial" w:cs="Arial"/>
          <w:sz w:val="36"/>
          <w:szCs w:val="36"/>
        </w:rPr>
      </w:pPr>
      <w:bookmarkStart w:id="0" w:name="scite-1"/>
      <w:bookmarkStart w:id="1" w:name="scite-2"/>
      <w:bookmarkEnd w:id="0"/>
      <w:bookmarkEnd w:id="1"/>
    </w:p>
    <w:sectPr w:rsidR="00D21A56"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9859B" w14:textId="77777777" w:rsidR="00127B1A" w:rsidRDefault="00127B1A" w:rsidP="00477E8D">
      <w:r>
        <w:separator/>
      </w:r>
    </w:p>
  </w:endnote>
  <w:endnote w:type="continuationSeparator" w:id="0">
    <w:p w14:paraId="69B8EACB" w14:textId="77777777" w:rsidR="00127B1A" w:rsidRDefault="00127B1A" w:rsidP="0047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F2DF" w14:textId="77777777" w:rsidR="00477E8D" w:rsidRDefault="0047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B73F" w14:textId="77777777" w:rsidR="00493FFF" w:rsidRPr="00493FFF" w:rsidRDefault="00493FFF" w:rsidP="00493FFF">
    <w:pPr>
      <w:pStyle w:val="Footer"/>
      <w:rPr>
        <w:rFonts w:ascii="Segoe UI" w:hAnsi="Segoe UI" w:cs="Segoe UI"/>
        <w:color w:val="000000"/>
        <w:sz w:val="27"/>
        <w:szCs w:val="27"/>
        <w:shd w:val="clear" w:color="auto" w:fill="FFFFFF"/>
      </w:rPr>
    </w:pPr>
    <w:r w:rsidRPr="00493FFF">
      <w:rPr>
        <w:rFonts w:ascii="Segoe UI" w:hAnsi="Segoe UI" w:cs="Segoe UI"/>
        <w:color w:val="000000"/>
        <w:sz w:val="27"/>
        <w:szCs w:val="27"/>
        <w:shd w:val="clear" w:color="auto" w:fill="FFFFFF"/>
      </w:rPr>
      <w:t>(© 2022 The MITRE Corporation All Rights Reserved. Draft Content</w:t>
    </w:r>
  </w:p>
  <w:p w14:paraId="0DC267A9" w14:textId="1D1D9D91" w:rsidR="00477E8D" w:rsidRDefault="00493FFF" w:rsidP="00493FFF">
    <w:pPr>
      <w:pStyle w:val="Footer"/>
    </w:pPr>
    <w:r w:rsidRPr="00493FFF">
      <w:rPr>
        <w:rFonts w:ascii="Segoe UI" w:hAnsi="Segoe UI" w:cs="Segoe UI"/>
        <w:color w:val="000000"/>
        <w:sz w:val="27"/>
        <w:szCs w:val="27"/>
        <w:shd w:val="clear" w:color="auto" w:fill="FFFFFF"/>
      </w:rPr>
      <w:t>Submission for Consideration by the CAVEAT Working Group)</w:t>
    </w:r>
  </w:p>
  <w:p w14:paraId="51CA49CC" w14:textId="77777777" w:rsidR="00477E8D" w:rsidRDefault="00477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673D" w14:textId="77777777" w:rsidR="00477E8D" w:rsidRDefault="0047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E4A4" w14:textId="77777777" w:rsidR="00127B1A" w:rsidRDefault="00127B1A" w:rsidP="00477E8D">
      <w:r>
        <w:separator/>
      </w:r>
    </w:p>
  </w:footnote>
  <w:footnote w:type="continuationSeparator" w:id="0">
    <w:p w14:paraId="19E684FF" w14:textId="77777777" w:rsidR="00127B1A" w:rsidRDefault="00127B1A" w:rsidP="00477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45B" w14:textId="77777777" w:rsidR="00477E8D" w:rsidRDefault="00477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2611" w14:textId="77777777" w:rsidR="00477E8D" w:rsidRDefault="00477E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584A" w14:textId="77777777" w:rsidR="00477E8D" w:rsidRDefault="00477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C1100"/>
    <w:multiLevelType w:val="multilevel"/>
    <w:tmpl w:val="A85AF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872F32"/>
    <w:multiLevelType w:val="multilevel"/>
    <w:tmpl w:val="A66E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518388">
    <w:abstractNumId w:val="1"/>
  </w:num>
  <w:num w:numId="2" w16cid:durableId="132608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A4"/>
    <w:rsid w:val="00020259"/>
    <w:rsid w:val="00127B1A"/>
    <w:rsid w:val="00477E8D"/>
    <w:rsid w:val="00493FFF"/>
    <w:rsid w:val="005E1DB9"/>
    <w:rsid w:val="0074501B"/>
    <w:rsid w:val="00A6505C"/>
    <w:rsid w:val="00CE13A4"/>
    <w:rsid w:val="081B2279"/>
    <w:rsid w:val="0D96478B"/>
    <w:rsid w:val="267234E2"/>
    <w:rsid w:val="2A7F610B"/>
    <w:rsid w:val="3BDDD1A7"/>
    <w:rsid w:val="52F12AC4"/>
    <w:rsid w:val="5880DA9A"/>
    <w:rsid w:val="68B57A14"/>
    <w:rsid w:val="6F295437"/>
    <w:rsid w:val="6F51B02E"/>
    <w:rsid w:val="718F9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6DCBF"/>
  <w15:chartTrackingRefBased/>
  <w15:docId w15:val="{EF31B21E-106C-404C-BEE2-E730C5C5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3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3A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3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3A4"/>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CE13A4"/>
  </w:style>
  <w:style w:type="character" w:styleId="Hyperlink">
    <w:name w:val="Hyperlink"/>
    <w:basedOn w:val="DefaultParagraphFont"/>
    <w:uiPriority w:val="99"/>
    <w:semiHidden/>
    <w:unhideWhenUsed/>
    <w:rsid w:val="00CE13A4"/>
    <w:rPr>
      <w:color w:val="0000FF"/>
      <w:u w:val="single"/>
    </w:rPr>
  </w:style>
  <w:style w:type="character" w:customStyle="1" w:styleId="h5">
    <w:name w:val="h5"/>
    <w:basedOn w:val="DefaultParagraphFont"/>
    <w:rsid w:val="00CE13A4"/>
  </w:style>
  <w:style w:type="character" w:customStyle="1" w:styleId="scite-citation-text">
    <w:name w:val="scite-citation-text"/>
    <w:basedOn w:val="DefaultParagraphFont"/>
    <w:rsid w:val="00CE13A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7E8D"/>
    <w:pPr>
      <w:tabs>
        <w:tab w:val="center" w:pos="4680"/>
        <w:tab w:val="right" w:pos="9360"/>
      </w:tabs>
    </w:pPr>
  </w:style>
  <w:style w:type="character" w:customStyle="1" w:styleId="HeaderChar">
    <w:name w:val="Header Char"/>
    <w:basedOn w:val="DefaultParagraphFont"/>
    <w:link w:val="Header"/>
    <w:uiPriority w:val="99"/>
    <w:rsid w:val="00477E8D"/>
  </w:style>
  <w:style w:type="paragraph" w:styleId="Footer">
    <w:name w:val="footer"/>
    <w:basedOn w:val="Normal"/>
    <w:link w:val="FooterChar"/>
    <w:uiPriority w:val="99"/>
    <w:unhideWhenUsed/>
    <w:rsid w:val="00477E8D"/>
    <w:pPr>
      <w:tabs>
        <w:tab w:val="center" w:pos="4680"/>
        <w:tab w:val="right" w:pos="9360"/>
      </w:tabs>
    </w:pPr>
  </w:style>
  <w:style w:type="character" w:customStyle="1" w:styleId="FooterChar">
    <w:name w:val="Footer Char"/>
    <w:basedOn w:val="DefaultParagraphFont"/>
    <w:link w:val="Footer"/>
    <w:uiPriority w:val="99"/>
    <w:rsid w:val="00477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33">
      <w:bodyDiv w:val="1"/>
      <w:marLeft w:val="0"/>
      <w:marRight w:val="0"/>
      <w:marTop w:val="0"/>
      <w:marBottom w:val="0"/>
      <w:divBdr>
        <w:top w:val="none" w:sz="0" w:space="0" w:color="auto"/>
        <w:left w:val="none" w:sz="0" w:space="0" w:color="auto"/>
        <w:bottom w:val="none" w:sz="0" w:space="0" w:color="auto"/>
        <w:right w:val="none" w:sz="0" w:space="0" w:color="auto"/>
      </w:divBdr>
      <w:divsChild>
        <w:div w:id="730345465">
          <w:marLeft w:val="-225"/>
          <w:marRight w:val="-225"/>
          <w:marTop w:val="0"/>
          <w:marBottom w:val="0"/>
          <w:divBdr>
            <w:top w:val="none" w:sz="0" w:space="0" w:color="auto"/>
            <w:left w:val="none" w:sz="0" w:space="0" w:color="auto"/>
            <w:bottom w:val="none" w:sz="0" w:space="0" w:color="auto"/>
            <w:right w:val="none" w:sz="0" w:space="0" w:color="auto"/>
          </w:divBdr>
          <w:divsChild>
            <w:div w:id="1098871781">
              <w:marLeft w:val="0"/>
              <w:marRight w:val="0"/>
              <w:marTop w:val="0"/>
              <w:marBottom w:val="0"/>
              <w:divBdr>
                <w:top w:val="none" w:sz="0" w:space="0" w:color="auto"/>
                <w:left w:val="none" w:sz="0" w:space="0" w:color="auto"/>
                <w:bottom w:val="none" w:sz="0" w:space="0" w:color="auto"/>
                <w:right w:val="none" w:sz="0" w:space="0" w:color="auto"/>
              </w:divBdr>
            </w:div>
            <w:div w:id="441002338">
              <w:marLeft w:val="0"/>
              <w:marRight w:val="0"/>
              <w:marTop w:val="0"/>
              <w:marBottom w:val="0"/>
              <w:divBdr>
                <w:top w:val="none" w:sz="0" w:space="0" w:color="auto"/>
                <w:left w:val="none" w:sz="0" w:space="0" w:color="auto"/>
                <w:bottom w:val="none" w:sz="0" w:space="0" w:color="auto"/>
                <w:right w:val="none" w:sz="0" w:space="0" w:color="auto"/>
              </w:divBdr>
              <w:divsChild>
                <w:div w:id="1492794546">
                  <w:marLeft w:val="0"/>
                  <w:marRight w:val="0"/>
                  <w:marTop w:val="0"/>
                  <w:marBottom w:val="0"/>
                  <w:divBdr>
                    <w:top w:val="single" w:sz="6" w:space="0" w:color="DFDFDF"/>
                    <w:left w:val="single" w:sz="6" w:space="0" w:color="DFDFDF"/>
                    <w:bottom w:val="single" w:sz="6" w:space="0" w:color="DFDFDF"/>
                    <w:right w:val="single" w:sz="6" w:space="0" w:color="DFDFDF"/>
                  </w:divBdr>
                  <w:divsChild>
                    <w:div w:id="850532179">
                      <w:marLeft w:val="0"/>
                      <w:marRight w:val="0"/>
                      <w:marTop w:val="0"/>
                      <w:marBottom w:val="0"/>
                      <w:divBdr>
                        <w:top w:val="none" w:sz="0" w:space="0" w:color="auto"/>
                        <w:left w:val="none" w:sz="0" w:space="0" w:color="auto"/>
                        <w:bottom w:val="none" w:sz="0" w:space="0" w:color="auto"/>
                        <w:right w:val="none" w:sz="0" w:space="0" w:color="auto"/>
                      </w:divBdr>
                      <w:divsChild>
                        <w:div w:id="853963129">
                          <w:marLeft w:val="0"/>
                          <w:marRight w:val="0"/>
                          <w:marTop w:val="0"/>
                          <w:marBottom w:val="0"/>
                          <w:divBdr>
                            <w:top w:val="none" w:sz="0" w:space="0" w:color="auto"/>
                            <w:left w:val="none" w:sz="0" w:space="0" w:color="auto"/>
                            <w:bottom w:val="none" w:sz="0" w:space="0" w:color="auto"/>
                            <w:right w:val="none" w:sz="0" w:space="0" w:color="auto"/>
                          </w:divBdr>
                        </w:div>
                        <w:div w:id="1561331860">
                          <w:marLeft w:val="0"/>
                          <w:marRight w:val="0"/>
                          <w:marTop w:val="0"/>
                          <w:marBottom w:val="0"/>
                          <w:divBdr>
                            <w:top w:val="none" w:sz="0" w:space="0" w:color="auto"/>
                            <w:left w:val="none" w:sz="0" w:space="0" w:color="auto"/>
                            <w:bottom w:val="none" w:sz="0" w:space="0" w:color="auto"/>
                            <w:right w:val="none" w:sz="0" w:space="0" w:color="auto"/>
                          </w:divBdr>
                        </w:div>
                        <w:div w:id="504783894">
                          <w:marLeft w:val="0"/>
                          <w:marRight w:val="0"/>
                          <w:marTop w:val="0"/>
                          <w:marBottom w:val="0"/>
                          <w:divBdr>
                            <w:top w:val="none" w:sz="0" w:space="0" w:color="auto"/>
                            <w:left w:val="none" w:sz="0" w:space="0" w:color="auto"/>
                            <w:bottom w:val="none" w:sz="0" w:space="0" w:color="auto"/>
                            <w:right w:val="none" w:sz="0" w:space="0" w:color="auto"/>
                          </w:divBdr>
                        </w:div>
                        <w:div w:id="1214926931">
                          <w:marLeft w:val="0"/>
                          <w:marRight w:val="0"/>
                          <w:marTop w:val="0"/>
                          <w:marBottom w:val="0"/>
                          <w:divBdr>
                            <w:top w:val="none" w:sz="0" w:space="0" w:color="auto"/>
                            <w:left w:val="none" w:sz="0" w:space="0" w:color="auto"/>
                            <w:bottom w:val="none" w:sz="0" w:space="0" w:color="auto"/>
                            <w:right w:val="none" w:sz="0" w:space="0" w:color="auto"/>
                          </w:divBdr>
                        </w:div>
                        <w:div w:id="444663364">
                          <w:marLeft w:val="0"/>
                          <w:marRight w:val="0"/>
                          <w:marTop w:val="0"/>
                          <w:marBottom w:val="0"/>
                          <w:divBdr>
                            <w:top w:val="none" w:sz="0" w:space="0" w:color="auto"/>
                            <w:left w:val="none" w:sz="0" w:space="0" w:color="auto"/>
                            <w:bottom w:val="none" w:sz="0" w:space="0" w:color="auto"/>
                            <w:right w:val="none" w:sz="0" w:space="0" w:color="auto"/>
                          </w:divBdr>
                        </w:div>
                        <w:div w:id="1434863023">
                          <w:marLeft w:val="0"/>
                          <w:marRight w:val="0"/>
                          <w:marTop w:val="0"/>
                          <w:marBottom w:val="0"/>
                          <w:divBdr>
                            <w:top w:val="none" w:sz="0" w:space="0" w:color="auto"/>
                            <w:left w:val="none" w:sz="0" w:space="0" w:color="auto"/>
                            <w:bottom w:val="none" w:sz="0" w:space="0" w:color="auto"/>
                            <w:right w:val="none" w:sz="0" w:space="0" w:color="auto"/>
                          </w:divBdr>
                        </w:div>
                        <w:div w:id="1519586986">
                          <w:marLeft w:val="0"/>
                          <w:marRight w:val="0"/>
                          <w:marTop w:val="0"/>
                          <w:marBottom w:val="0"/>
                          <w:divBdr>
                            <w:top w:val="none" w:sz="0" w:space="0" w:color="auto"/>
                            <w:left w:val="none" w:sz="0" w:space="0" w:color="auto"/>
                            <w:bottom w:val="none" w:sz="0" w:space="0" w:color="auto"/>
                            <w:right w:val="none" w:sz="0" w:space="0" w:color="auto"/>
                          </w:divBdr>
                        </w:div>
                        <w:div w:id="370496093">
                          <w:marLeft w:val="0"/>
                          <w:marRight w:val="0"/>
                          <w:marTop w:val="0"/>
                          <w:marBottom w:val="0"/>
                          <w:divBdr>
                            <w:top w:val="none" w:sz="0" w:space="0" w:color="auto"/>
                            <w:left w:val="none" w:sz="0" w:space="0" w:color="auto"/>
                            <w:bottom w:val="none" w:sz="0" w:space="0" w:color="auto"/>
                            <w:right w:val="none" w:sz="0" w:space="0" w:color="auto"/>
                          </w:divBdr>
                        </w:div>
                        <w:div w:id="15734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44305">
          <w:marLeft w:val="-225"/>
          <w:marRight w:val="-225"/>
          <w:marTop w:val="0"/>
          <w:marBottom w:val="0"/>
          <w:divBdr>
            <w:top w:val="none" w:sz="0" w:space="0" w:color="auto"/>
            <w:left w:val="none" w:sz="0" w:space="0" w:color="auto"/>
            <w:bottom w:val="none" w:sz="0" w:space="0" w:color="auto"/>
            <w:right w:val="none" w:sz="0" w:space="0" w:color="auto"/>
          </w:divBdr>
          <w:divsChild>
            <w:div w:id="1245919461">
              <w:marLeft w:val="0"/>
              <w:marRight w:val="0"/>
              <w:marTop w:val="0"/>
              <w:marBottom w:val="0"/>
              <w:divBdr>
                <w:top w:val="none" w:sz="0" w:space="0" w:color="auto"/>
                <w:left w:val="none" w:sz="0" w:space="0" w:color="auto"/>
                <w:bottom w:val="none" w:sz="0" w:space="0" w:color="auto"/>
                <w:right w:val="none" w:sz="0" w:space="0" w:color="auto"/>
              </w:divBdr>
            </w:div>
            <w:div w:id="7704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C8210-D42F-4A76-9695-63C903F8FB41}">
  <ds:schemaRefs>
    <ds:schemaRef ds:uri="http://schemas.microsoft.com/sharepoint/v3/contenttype/forms"/>
  </ds:schemaRefs>
</ds:datastoreItem>
</file>

<file path=customXml/itemProps2.xml><?xml version="1.0" encoding="utf-8"?>
<ds:datastoreItem xmlns:ds="http://schemas.openxmlformats.org/officeDocument/2006/customXml" ds:itemID="{C007F615-693D-46AF-A966-BD9BEF166E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04D246-38E0-4633-B722-85F171D3A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8</cp:revision>
  <dcterms:created xsi:type="dcterms:W3CDTF">2020-02-04T19:22:00Z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