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850F" w14:textId="60884AD4" w:rsidR="14939931" w:rsidRDefault="14939931" w:rsidP="75630A36">
      <w:pPr>
        <w:shd w:val="clear" w:color="auto" w:fill="FFFFFF" w:themeFill="background1"/>
        <w:spacing w:before="120" w:after="120"/>
        <w:rPr>
          <w:rFonts w:ascii="Arial" w:eastAsia="Arial" w:hAnsi="Arial" w:cs="Arial"/>
          <w:color w:val="000000" w:themeColor="text1"/>
          <w:sz w:val="48"/>
          <w:szCs w:val="48"/>
          <w:lang w:val="en"/>
        </w:rPr>
      </w:pPr>
      <w:r w:rsidRPr="75630A36">
        <w:rPr>
          <w:rFonts w:ascii="Arial" w:eastAsia="Arial" w:hAnsi="Arial" w:cs="Arial"/>
          <w:sz w:val="48"/>
          <w:szCs w:val="48"/>
          <w:lang w:val="en"/>
        </w:rPr>
        <w:t xml:space="preserve">Accessing Data from Databases </w:t>
      </w:r>
      <w:r w:rsidRPr="75630A36">
        <w:rPr>
          <w:rFonts w:ascii="Arial" w:eastAsia="Arial" w:hAnsi="Arial" w:cs="Arial"/>
          <w:lang w:val="en"/>
        </w:rPr>
        <w:t>(version 1.0)</w:t>
      </w:r>
    </w:p>
    <w:p w14:paraId="5F9D5232" w14:textId="54E7F2F1" w:rsidR="004C71F3" w:rsidRDefault="0DB8D142" w:rsidP="3C502877">
      <w:pPr>
        <w:spacing w:before="120" w:after="120" w:afterAutospacing="1"/>
        <w:rPr>
          <w:rFonts w:ascii="Arial" w:eastAsia="Arial" w:hAnsi="Arial" w:cs="Arial"/>
          <w:color w:val="222A35" w:themeColor="text2" w:themeShade="80"/>
          <w:sz w:val="28"/>
          <w:szCs w:val="28"/>
          <w:lang w:val="en"/>
        </w:rPr>
      </w:pPr>
      <w:r w:rsidRPr="3C502877">
        <w:rPr>
          <w:rFonts w:ascii="Arial" w:eastAsia="Arial" w:hAnsi="Arial" w:cs="Arial"/>
          <w:b/>
          <w:bCs/>
          <w:color w:val="222A35" w:themeColor="text2" w:themeShade="80"/>
          <w:sz w:val="28"/>
          <w:szCs w:val="28"/>
        </w:rPr>
        <w:t>Cloud Service Label:  PaaS</w:t>
      </w:r>
    </w:p>
    <w:p w14:paraId="629BB595" w14:textId="7ACF99F5" w:rsidR="004C71F3" w:rsidRDefault="004C71F3" w:rsidP="75630A36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32"/>
          <w:szCs w:val="32"/>
          <w:lang w:val="en"/>
        </w:rPr>
      </w:pPr>
    </w:p>
    <w:p w14:paraId="36F501F5" w14:textId="366F3046" w:rsidR="0064279D" w:rsidRDefault="0064279D" w:rsidP="75630A36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32"/>
          <w:szCs w:val="32"/>
          <w:lang w:val="en"/>
        </w:rPr>
      </w:pPr>
      <w:r w:rsidRPr="75630A36">
        <w:rPr>
          <w:rFonts w:ascii="Arial" w:eastAsia="Arial" w:hAnsi="Arial" w:cs="Arial"/>
          <w:sz w:val="32"/>
          <w:szCs w:val="32"/>
          <w:lang w:val="en"/>
        </w:rPr>
        <w:t>Description</w:t>
      </w:r>
    </w:p>
    <w:p w14:paraId="3E669FCD" w14:textId="07CB0781" w:rsidR="75630A36" w:rsidRDefault="009B1F6C" w:rsidP="3C502877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  <w:r w:rsidRPr="3C502877">
        <w:rPr>
          <w:rFonts w:ascii="Arial" w:eastAsia="Arial" w:hAnsi="Arial" w:cs="Arial"/>
          <w:lang w:val="en"/>
        </w:rPr>
        <w:t xml:space="preserve">Both AWS and Azure have </w:t>
      </w:r>
      <w:r w:rsidR="000C3BCD" w:rsidRPr="3C502877">
        <w:rPr>
          <w:rFonts w:ascii="Arial" w:eastAsia="Arial" w:hAnsi="Arial" w:cs="Arial"/>
          <w:lang w:val="en"/>
        </w:rPr>
        <w:t>PaaS offerings for database services that are very popular.  Such services can still allow traditional database access using SQL commands from the host running the SQL instance but more interestingly</w:t>
      </w:r>
      <w:r w:rsidR="00464D4C" w:rsidRPr="3C502877">
        <w:rPr>
          <w:rFonts w:ascii="Arial" w:eastAsia="Arial" w:hAnsi="Arial" w:cs="Arial"/>
          <w:lang w:val="en"/>
        </w:rPr>
        <w:t>,</w:t>
      </w:r>
      <w:r w:rsidR="000C3BCD" w:rsidRPr="3C502877">
        <w:rPr>
          <w:rFonts w:ascii="Arial" w:eastAsia="Arial" w:hAnsi="Arial" w:cs="Arial"/>
          <w:lang w:val="en"/>
        </w:rPr>
        <w:t xml:space="preserve"> a REST-based API which enables a richer</w:t>
      </w:r>
      <w:r w:rsidR="00464D4C" w:rsidRPr="3C502877">
        <w:rPr>
          <w:rFonts w:ascii="Arial" w:eastAsia="Arial" w:hAnsi="Arial" w:cs="Arial"/>
          <w:lang w:val="en"/>
        </w:rPr>
        <w:t>,</w:t>
      </w:r>
      <w:r w:rsidR="000C3BCD" w:rsidRPr="3C502877">
        <w:rPr>
          <w:rFonts w:ascii="Arial" w:eastAsia="Arial" w:hAnsi="Arial" w:cs="Arial"/>
          <w:lang w:val="en"/>
        </w:rPr>
        <w:t xml:space="preserve"> less restricted method of controlling the database. </w:t>
      </w:r>
      <w:r w:rsidR="00464D4C" w:rsidRPr="3C502877">
        <w:rPr>
          <w:rFonts w:ascii="Arial" w:eastAsia="Arial" w:hAnsi="Arial" w:cs="Arial"/>
          <w:lang w:val="en"/>
        </w:rPr>
        <w:t>Adversaries with some cloud credentials may be able to use this API to access data from the database that more traditional SQL access might prohibit.</w:t>
      </w:r>
    </w:p>
    <w:p w14:paraId="7BFD110F" w14:textId="548FDC2E" w:rsidR="3C502877" w:rsidRDefault="3C502877" w:rsidP="3C502877">
      <w:pPr>
        <w:spacing w:afterAutospacing="1"/>
        <w:rPr>
          <w:rFonts w:ascii="Arial" w:eastAsia="Arial" w:hAnsi="Arial" w:cs="Arial"/>
          <w:sz w:val="36"/>
          <w:szCs w:val="36"/>
          <w:lang w:val="en"/>
        </w:rPr>
      </w:pPr>
    </w:p>
    <w:p w14:paraId="446C6642" w14:textId="57E73969" w:rsidR="0EB61463" w:rsidRDefault="0EB61463" w:rsidP="3C502877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3C502877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C502877" w14:paraId="67D4DB7A" w14:textId="77777777" w:rsidTr="3C502877">
        <w:tc>
          <w:tcPr>
            <w:tcW w:w="4680" w:type="dxa"/>
          </w:tcPr>
          <w:p w14:paraId="485ED736" w14:textId="35B01487" w:rsidR="3C502877" w:rsidRDefault="3C502877" w:rsidP="3C502877">
            <w:pPr>
              <w:rPr>
                <w:rFonts w:ascii="Arial" w:eastAsia="Arial" w:hAnsi="Arial" w:cs="Arial"/>
              </w:rPr>
            </w:pPr>
            <w:r w:rsidRPr="3C502877">
              <w:rPr>
                <w:rFonts w:ascii="Arial" w:eastAsia="Arial" w:hAnsi="Arial" w:cs="Arial"/>
                <w:b/>
                <w:bCs/>
              </w:rPr>
              <w:t>Name</w:t>
            </w:r>
            <w:r w:rsidRPr="3C502877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1C9A8C69" w14:textId="6D78854F" w:rsidR="3C502877" w:rsidRDefault="3C502877" w:rsidP="3C502877">
            <w:pPr>
              <w:rPr>
                <w:rFonts w:ascii="Arial" w:eastAsia="Arial" w:hAnsi="Arial" w:cs="Arial"/>
              </w:rPr>
            </w:pPr>
            <w:r w:rsidRPr="3C502877">
              <w:rPr>
                <w:rFonts w:ascii="Arial" w:eastAsia="Arial" w:hAnsi="Arial" w:cs="Arial"/>
                <w:b/>
                <w:bCs/>
              </w:rPr>
              <w:t>Description</w:t>
            </w:r>
            <w:r w:rsidRPr="3C502877">
              <w:rPr>
                <w:rFonts w:ascii="Arial" w:eastAsia="Arial" w:hAnsi="Arial" w:cs="Arial"/>
              </w:rPr>
              <w:t> </w:t>
            </w:r>
          </w:p>
        </w:tc>
      </w:tr>
      <w:tr w:rsidR="3C502877" w14:paraId="60F5B9A1" w14:textId="77777777" w:rsidTr="3C502877">
        <w:tc>
          <w:tcPr>
            <w:tcW w:w="4680" w:type="dxa"/>
          </w:tcPr>
          <w:p w14:paraId="129EB0BD" w14:textId="69146565" w:rsidR="31158DCE" w:rsidRDefault="31158DCE" w:rsidP="3C50287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C502877">
              <w:rPr>
                <w:rFonts w:ascii="Arial" w:eastAsia="Arial" w:hAnsi="Arial" w:cs="Arial"/>
                <w:sz w:val="18"/>
                <w:szCs w:val="18"/>
              </w:rPr>
              <w:t>Snapshot-</w:t>
            </w:r>
            <w:proofErr w:type="spellStart"/>
            <w:r w:rsidRPr="3C502877">
              <w:rPr>
                <w:rFonts w:ascii="Arial" w:eastAsia="Arial" w:hAnsi="Arial" w:cs="Arial"/>
                <w:sz w:val="18"/>
                <w:szCs w:val="18"/>
              </w:rPr>
              <w:t>rds</w:t>
            </w:r>
            <w:proofErr w:type="spellEnd"/>
          </w:p>
          <w:p w14:paraId="032DF44C" w14:textId="26B5DED1" w:rsidR="3C502877" w:rsidRDefault="3C502877" w:rsidP="3C50287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5B56191C" w14:textId="222760FB" w:rsidR="31158DCE" w:rsidRDefault="31158DCE" w:rsidP="3C502877">
            <w:pPr>
              <w:ind w:right="144"/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</w:pPr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 xml:space="preserve">Public Nimbostratus module that abuses </w:t>
            </w:r>
            <w:proofErr w:type="gramStart"/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>ability</w:t>
            </w:r>
            <w:proofErr w:type="gramEnd"/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 xml:space="preserve"> to request a snapshot of a database.  </w:t>
            </w:r>
            <w:proofErr w:type="gramStart"/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>Adversary</w:t>
            </w:r>
            <w:proofErr w:type="gramEnd"/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 xml:space="preserve"> then restores DB snapshot on a host that the adversary controls. This gives adversary complete access to all table data.</w:t>
            </w:r>
          </w:p>
        </w:tc>
      </w:tr>
    </w:tbl>
    <w:p w14:paraId="621F4E60" w14:textId="28337391" w:rsidR="3C502877" w:rsidRDefault="3C502877" w:rsidP="3C502877">
      <w:pPr>
        <w:spacing w:beforeAutospacing="1" w:afterAutospacing="1"/>
        <w:rPr>
          <w:rFonts w:ascii="Arial" w:eastAsia="Arial" w:hAnsi="Arial" w:cs="Arial"/>
          <w:lang w:val="en"/>
        </w:rPr>
      </w:pPr>
    </w:p>
    <w:p w14:paraId="279FCA03" w14:textId="188CD626" w:rsidR="0EB61463" w:rsidRDefault="0EB61463" w:rsidP="3C502877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3C502877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875"/>
        <w:gridCol w:w="6120"/>
      </w:tblGrid>
      <w:tr w:rsidR="3C502877" w14:paraId="1CDB9A24" w14:textId="77777777" w:rsidTr="531F326A">
        <w:tc>
          <w:tcPr>
            <w:tcW w:w="3240" w:type="dxa"/>
            <w:gridSpan w:val="2"/>
          </w:tcPr>
          <w:p w14:paraId="64E294C0" w14:textId="4327F05A" w:rsidR="3C502877" w:rsidRDefault="3C502877" w:rsidP="3C502877">
            <w:pPr>
              <w:rPr>
                <w:rFonts w:ascii="Arial" w:eastAsia="Arial" w:hAnsi="Arial" w:cs="Arial"/>
              </w:rPr>
            </w:pPr>
            <w:r w:rsidRPr="3C502877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6120" w:type="dxa"/>
          </w:tcPr>
          <w:p w14:paraId="0A49FFBD" w14:textId="321A4BED" w:rsidR="3C502877" w:rsidRDefault="3C502877" w:rsidP="3C502877">
            <w:pPr>
              <w:rPr>
                <w:rFonts w:ascii="Arial" w:eastAsia="Arial" w:hAnsi="Arial" w:cs="Arial"/>
              </w:rPr>
            </w:pPr>
            <w:r w:rsidRPr="3C502877">
              <w:rPr>
                <w:rFonts w:ascii="Arial" w:eastAsia="Arial" w:hAnsi="Arial" w:cs="Arial"/>
                <w:b/>
                <w:bCs/>
              </w:rPr>
              <w:t>Description</w:t>
            </w:r>
            <w:r w:rsidRPr="3C502877">
              <w:rPr>
                <w:rFonts w:ascii="Arial" w:eastAsia="Arial" w:hAnsi="Arial" w:cs="Arial"/>
              </w:rPr>
              <w:t> </w:t>
            </w:r>
          </w:p>
        </w:tc>
      </w:tr>
      <w:tr w:rsidR="3C502877" w14:paraId="0106CB0B" w14:textId="77777777" w:rsidTr="531F326A">
        <w:tc>
          <w:tcPr>
            <w:tcW w:w="3240" w:type="dxa"/>
            <w:gridSpan w:val="2"/>
          </w:tcPr>
          <w:p w14:paraId="1B8046A1" w14:textId="2562BA59" w:rsidR="0946921E" w:rsidRDefault="0946921E" w:rsidP="3C50287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C502877">
              <w:rPr>
                <w:rStyle w:val="normaltextrun"/>
                <w:rFonts w:ascii="Arial" w:eastAsia="Arial" w:hAnsi="Arial" w:cs="Arial"/>
                <w:sz w:val="18"/>
                <w:szCs w:val="18"/>
              </w:rPr>
              <w:t>Carefully assign permissions to database API</w:t>
            </w:r>
          </w:p>
        </w:tc>
        <w:tc>
          <w:tcPr>
            <w:tcW w:w="6120" w:type="dxa"/>
          </w:tcPr>
          <w:p w14:paraId="35CBD312" w14:textId="3B9E23CF" w:rsidR="0946921E" w:rsidRDefault="0946921E" w:rsidP="3C502877">
            <w:pPr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</w:pPr>
            <w:r w:rsidRPr="3C502877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>Care must be taken to enable read access to a database without permitting additional functionality such as create snapshots.</w:t>
            </w:r>
          </w:p>
        </w:tc>
      </w:tr>
      <w:tr w:rsidR="36833C71" w14:paraId="6443BF80" w14:textId="77777777" w:rsidTr="531F326A">
        <w:tc>
          <w:tcPr>
            <w:tcW w:w="1365" w:type="dxa"/>
          </w:tcPr>
          <w:p w14:paraId="371FAAAD" w14:textId="31785CC4" w:rsidR="36833C71" w:rsidRDefault="36833C71" w:rsidP="36833C71">
            <w:pPr>
              <w:rPr>
                <w:rStyle w:val="normaltextrun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26770BC" w14:textId="23C02F24" w:rsidR="0577BD6D" w:rsidRDefault="0577BD6D" w:rsidP="36833C71">
            <w:pPr>
              <w:spacing w:line="259" w:lineRule="auto"/>
            </w:pPr>
            <w:r w:rsidRPr="36833C71">
              <w:rPr>
                <w:rStyle w:val="normaltextrun"/>
                <w:rFonts w:ascii="Arial" w:eastAsia="Arial" w:hAnsi="Arial" w:cs="Arial"/>
                <w:sz w:val="18"/>
                <w:szCs w:val="18"/>
              </w:rPr>
              <w:t>AWS</w:t>
            </w:r>
          </w:p>
        </w:tc>
        <w:tc>
          <w:tcPr>
            <w:tcW w:w="6120" w:type="dxa"/>
          </w:tcPr>
          <w:p w14:paraId="687F1012" w14:textId="16230655" w:rsidR="5B5A9810" w:rsidRDefault="5B5A9810" w:rsidP="36833C71">
            <w:pPr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</w:pPr>
            <w:r w:rsidRPr="36833C71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 xml:space="preserve">API developers will require escalated permissions to the API gateway. </w:t>
            </w:r>
            <w:r w:rsidR="0577BD6D" w:rsidRPr="36833C71"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  <w:t xml:space="preserve">Information on how to properly configure API permissions on AWS can be found here: </w:t>
            </w:r>
            <w:r w:rsidR="0577BD6D" w:rsidRPr="36833C71">
              <w:rPr>
                <w:rFonts w:ascii="Arial" w:eastAsia="Arial" w:hAnsi="Arial" w:cs="Arial"/>
                <w:sz w:val="18"/>
                <w:szCs w:val="18"/>
              </w:rPr>
              <w:t>https://docs.aws.amazon.com/apigateway/latest/developerguide/permissions.html.</w:t>
            </w:r>
          </w:p>
        </w:tc>
      </w:tr>
      <w:tr w:rsidR="36833C71" w14:paraId="3BE9ED2B" w14:textId="77777777" w:rsidTr="531F326A">
        <w:tc>
          <w:tcPr>
            <w:tcW w:w="1365" w:type="dxa"/>
          </w:tcPr>
          <w:p w14:paraId="302747B9" w14:textId="74F157FE" w:rsidR="36833C71" w:rsidRDefault="36833C71" w:rsidP="36833C71">
            <w:pPr>
              <w:rPr>
                <w:rStyle w:val="normaltextrun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3E49BF4" w14:textId="37B30F8A" w:rsidR="0577BD6D" w:rsidRDefault="0577BD6D" w:rsidP="36833C71">
            <w:pPr>
              <w:rPr>
                <w:rStyle w:val="normaltextrun"/>
                <w:rFonts w:ascii="Arial" w:eastAsia="Arial" w:hAnsi="Arial" w:cs="Arial"/>
                <w:sz w:val="18"/>
                <w:szCs w:val="18"/>
              </w:rPr>
            </w:pPr>
            <w:r w:rsidRPr="36833C71">
              <w:rPr>
                <w:rStyle w:val="normaltextrun"/>
                <w:rFonts w:ascii="Arial" w:eastAsia="Arial" w:hAnsi="Arial" w:cs="Arial"/>
                <w:sz w:val="18"/>
                <w:szCs w:val="18"/>
              </w:rPr>
              <w:t>Azure</w:t>
            </w:r>
          </w:p>
        </w:tc>
        <w:tc>
          <w:tcPr>
            <w:tcW w:w="6120" w:type="dxa"/>
          </w:tcPr>
          <w:p w14:paraId="7FC46154" w14:textId="64B91B3C" w:rsidR="36833C71" w:rsidRDefault="0409DD57" w:rsidP="11C37903">
            <w:pPr>
              <w:rPr>
                <w:rFonts w:ascii="Arial" w:eastAsia="Arial" w:hAnsi="Arial" w:cs="Arial"/>
                <w:color w:val="222A35" w:themeColor="text2" w:themeShade="80"/>
                <w:sz w:val="18"/>
                <w:szCs w:val="18"/>
              </w:rPr>
            </w:pPr>
            <w:r w:rsidRPr="11C37903">
              <w:rPr>
                <w:rFonts w:ascii="Arial" w:eastAsia="Arial" w:hAnsi="Arial" w:cs="Arial"/>
                <w:sz w:val="18"/>
                <w:szCs w:val="18"/>
              </w:rPr>
              <w:t xml:space="preserve">There is an API permissions page within the Azure portal that can give developers the escalated permissions they need to perform their </w:t>
            </w:r>
            <w:proofErr w:type="gramStart"/>
            <w:r w:rsidRPr="11C37903">
              <w:rPr>
                <w:rFonts w:ascii="Arial" w:eastAsia="Arial" w:hAnsi="Arial" w:cs="Arial"/>
                <w:sz w:val="18"/>
                <w:szCs w:val="18"/>
              </w:rPr>
              <w:t>tasks, but</w:t>
            </w:r>
            <w:proofErr w:type="gramEnd"/>
            <w:r w:rsidRPr="11C37903">
              <w:rPr>
                <w:rFonts w:ascii="Arial" w:eastAsia="Arial" w:hAnsi="Arial" w:cs="Arial"/>
                <w:sz w:val="18"/>
                <w:szCs w:val="18"/>
              </w:rPr>
              <w:t xml:space="preserve"> should be monitored and only given to those who need such permissions</w:t>
            </w:r>
            <w:r w:rsidR="75AD9D71" w:rsidRPr="11C37903">
              <w:rPr>
                <w:rFonts w:ascii="Arial" w:eastAsia="Arial" w:hAnsi="Arial" w:cs="Arial"/>
                <w:sz w:val="18"/>
                <w:szCs w:val="18"/>
              </w:rPr>
              <w:t xml:space="preserve">. Microsoft documentation outlines how to give specific permissions, as well as how resource applications can expose scopes and application roles to client applications. Both can be useful </w:t>
            </w:r>
            <w:r w:rsidR="39295AA6" w:rsidRPr="11C37903">
              <w:rPr>
                <w:rFonts w:ascii="Arial" w:eastAsia="Arial" w:hAnsi="Arial" w:cs="Arial"/>
                <w:sz w:val="18"/>
                <w:szCs w:val="18"/>
              </w:rPr>
              <w:t xml:space="preserve">when assigning correct permissions. </w:t>
            </w:r>
            <w:r w:rsidR="08711400" w:rsidRPr="11C37903">
              <w:rPr>
                <w:rFonts w:ascii="Arial" w:eastAsia="Arial" w:hAnsi="Arial" w:cs="Arial"/>
                <w:sz w:val="18"/>
                <w:szCs w:val="18"/>
              </w:rPr>
              <w:t>Documentation</w:t>
            </w:r>
            <w:r w:rsidR="39295AA6" w:rsidRPr="11C37903">
              <w:rPr>
                <w:rFonts w:ascii="Arial" w:eastAsia="Arial" w:hAnsi="Arial" w:cs="Arial"/>
                <w:sz w:val="18"/>
                <w:szCs w:val="18"/>
              </w:rPr>
              <w:t xml:space="preserve"> can be found here: https://docs.microsoft.com/en-us/azure/active-directory/develop/perms-for-given-api#recommended-documents.</w:t>
            </w:r>
          </w:p>
        </w:tc>
      </w:tr>
    </w:tbl>
    <w:p w14:paraId="724F559B" w14:textId="03CE15A5" w:rsidR="7B9C7929" w:rsidRDefault="7B9C7929"/>
    <w:p w14:paraId="35A4C992" w14:textId="2CC8920F" w:rsidR="3C502877" w:rsidRDefault="3C502877" w:rsidP="3C502877">
      <w:pPr>
        <w:pStyle w:val="paragraph"/>
        <w:spacing w:before="0" w:beforeAutospacing="0" w:after="0" w:afterAutospacing="0"/>
        <w:rPr>
          <w:rStyle w:val="normaltextrun"/>
          <w:rFonts w:ascii="Arial" w:eastAsia="Arial" w:hAnsi="Arial" w:cs="Arial"/>
          <w:sz w:val="32"/>
          <w:szCs w:val="32"/>
        </w:rPr>
      </w:pPr>
    </w:p>
    <w:p w14:paraId="2A1A81EC" w14:textId="0BC10170" w:rsidR="007F226D" w:rsidRDefault="6B87BB24" w:rsidP="75630A3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36"/>
          <w:szCs w:val="36"/>
        </w:rPr>
      </w:pPr>
      <w:r w:rsidRPr="75630A36">
        <w:rPr>
          <w:rStyle w:val="normaltextrun"/>
          <w:rFonts w:ascii="Arial" w:eastAsia="Arial" w:hAnsi="Arial" w:cs="Arial"/>
          <w:sz w:val="32"/>
          <w:szCs w:val="32"/>
        </w:rPr>
        <w:lastRenderedPageBreak/>
        <w:t>Detection</w:t>
      </w:r>
      <w:r w:rsidRPr="75630A36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78526090" w14:textId="1EB7F8E2" w:rsidR="6B87BB24" w:rsidRDefault="6B87BB24" w:rsidP="3C502877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3C502877">
        <w:rPr>
          <w:rFonts w:ascii="Arial" w:eastAsia="Arial" w:hAnsi="Arial" w:cs="Arial"/>
        </w:rPr>
        <w:t>In theory requests made of the API for DB table snapshots should be captured in cloud API logs such as Azure Monitor logs and CloudTrail</w:t>
      </w:r>
      <w:r w:rsidR="5CAB3FAA" w:rsidRPr="3C502877">
        <w:rPr>
          <w:rFonts w:ascii="Arial" w:eastAsia="Arial" w:hAnsi="Arial" w:cs="Arial"/>
        </w:rPr>
        <w:t>.</w:t>
      </w:r>
    </w:p>
    <w:p w14:paraId="11E0DEF6" w14:textId="5EAA615D" w:rsidR="3C502877" w:rsidRDefault="3C502877" w:rsidP="3C502877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0EAF4F54" w14:textId="3C33A58F" w:rsidR="00000000" w:rsidRDefault="0071530B" w:rsidP="75630A36">
      <w:pPr>
        <w:shd w:val="clear" w:color="auto" w:fill="FFFFFF" w:themeFill="background1"/>
        <w:spacing w:before="240" w:after="60"/>
        <w:outlineLvl w:val="1"/>
        <w:rPr>
          <w:rFonts w:ascii="Arial" w:eastAsia="Arial" w:hAnsi="Arial" w:cs="Arial"/>
          <w:sz w:val="32"/>
          <w:szCs w:val="32"/>
          <w:lang w:val="en"/>
        </w:rPr>
      </w:pPr>
      <w:r w:rsidRPr="75630A36">
        <w:rPr>
          <w:rFonts w:ascii="Arial" w:eastAsia="Arial" w:hAnsi="Arial" w:cs="Arial"/>
          <w:sz w:val="32"/>
          <w:szCs w:val="32"/>
          <w:lang w:val="en"/>
        </w:rPr>
        <w:t>References</w:t>
      </w:r>
    </w:p>
    <w:p w14:paraId="4B40E04C" w14:textId="5C50AE31" w:rsidR="00692DB5" w:rsidRDefault="00692DB5" w:rsidP="75630A36">
      <w:pPr>
        <w:rPr>
          <w:rFonts w:ascii="Arial" w:eastAsia="Arial" w:hAnsi="Arial" w:cs="Arial"/>
        </w:rPr>
      </w:pPr>
      <w:r w:rsidRPr="75630A36">
        <w:rPr>
          <w:rFonts w:ascii="Arial" w:eastAsia="Arial" w:hAnsi="Arial" w:cs="Arial"/>
        </w:rPr>
        <w:t xml:space="preserve">1. </w:t>
      </w:r>
      <w:hyperlink r:id="rId10">
        <w:r w:rsidRPr="75630A36">
          <w:rPr>
            <w:rStyle w:val="Hyperlink"/>
            <w:rFonts w:ascii="Arial" w:eastAsia="Arial" w:hAnsi="Arial" w:cs="Arial"/>
            <w:color w:val="auto"/>
            <w:u w:val="none"/>
          </w:rPr>
          <w:t>http://andresriancho.github.io/nimbostratus/</w:t>
        </w:r>
      </w:hyperlink>
      <w:r w:rsidRPr="75630A36">
        <w:rPr>
          <w:rFonts w:ascii="Arial" w:eastAsia="Arial" w:hAnsi="Arial" w:cs="Arial"/>
        </w:rPr>
        <w:t>.  Accessed Feb 23, 2020</w:t>
      </w:r>
    </w:p>
    <w:p w14:paraId="27A7D57C" w14:textId="12E9A971" w:rsidR="0071530B" w:rsidRDefault="0071530B" w:rsidP="75630A36">
      <w:pPr>
        <w:rPr>
          <w:rFonts w:ascii="Arial" w:eastAsia="Arial" w:hAnsi="Arial" w:cs="Arial"/>
        </w:rPr>
      </w:pPr>
    </w:p>
    <w:sectPr w:rsidR="0071530B" w:rsidSect="000202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4A4F" w14:textId="77777777" w:rsidR="006F2F19" w:rsidRDefault="006F2F19" w:rsidP="00E91678">
      <w:r>
        <w:separator/>
      </w:r>
    </w:p>
  </w:endnote>
  <w:endnote w:type="continuationSeparator" w:id="0">
    <w:p w14:paraId="1719E709" w14:textId="77777777" w:rsidR="006F2F19" w:rsidRDefault="006F2F19" w:rsidP="00E9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7435" w14:textId="77777777" w:rsidR="00E91678" w:rsidRDefault="00E91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8DBF" w14:textId="77777777" w:rsidR="00FC0BDC" w:rsidRPr="00FC0BDC" w:rsidRDefault="00FC0BDC" w:rsidP="00FC0BDC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FC0BDC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650A0F5B" w14:textId="4AF68438" w:rsidR="00E91678" w:rsidRDefault="00FC0BDC" w:rsidP="00FC0BDC">
    <w:pPr>
      <w:pStyle w:val="Footer"/>
    </w:pPr>
    <w:r w:rsidRPr="00FC0BDC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59369783" w14:textId="77777777" w:rsidR="00E91678" w:rsidRDefault="00E91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231F" w14:textId="77777777" w:rsidR="00E91678" w:rsidRDefault="00E9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4E43" w14:textId="77777777" w:rsidR="006F2F19" w:rsidRDefault="006F2F19" w:rsidP="00E91678">
      <w:r>
        <w:separator/>
      </w:r>
    </w:p>
  </w:footnote>
  <w:footnote w:type="continuationSeparator" w:id="0">
    <w:p w14:paraId="53C31436" w14:textId="77777777" w:rsidR="006F2F19" w:rsidRDefault="006F2F19" w:rsidP="00E9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2639" w14:textId="77777777" w:rsidR="00E91678" w:rsidRDefault="00E91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A78" w14:textId="77777777" w:rsidR="00E91678" w:rsidRDefault="00E91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5E1C" w14:textId="77777777" w:rsidR="00E91678" w:rsidRDefault="00E91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42749">
    <w:abstractNumId w:val="1"/>
  </w:num>
  <w:num w:numId="2" w16cid:durableId="338630092">
    <w:abstractNumId w:val="0"/>
  </w:num>
  <w:num w:numId="3" w16cid:durableId="6280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20259"/>
    <w:rsid w:val="0003460D"/>
    <w:rsid w:val="00036760"/>
    <w:rsid w:val="00047624"/>
    <w:rsid w:val="000C3BCD"/>
    <w:rsid w:val="00102859"/>
    <w:rsid w:val="0017483E"/>
    <w:rsid w:val="001A5A73"/>
    <w:rsid w:val="002C3F37"/>
    <w:rsid w:val="00402818"/>
    <w:rsid w:val="00464D4C"/>
    <w:rsid w:val="004C71F3"/>
    <w:rsid w:val="00583F39"/>
    <w:rsid w:val="006276C3"/>
    <w:rsid w:val="0064279D"/>
    <w:rsid w:val="00642EA0"/>
    <w:rsid w:val="00692DB5"/>
    <w:rsid w:val="006F2F19"/>
    <w:rsid w:val="007001DA"/>
    <w:rsid w:val="0071530B"/>
    <w:rsid w:val="0073644D"/>
    <w:rsid w:val="007C087F"/>
    <w:rsid w:val="007F226D"/>
    <w:rsid w:val="00800210"/>
    <w:rsid w:val="008D4473"/>
    <w:rsid w:val="00935BFC"/>
    <w:rsid w:val="009833CC"/>
    <w:rsid w:val="009A647D"/>
    <w:rsid w:val="009B1F6C"/>
    <w:rsid w:val="009E1AC9"/>
    <w:rsid w:val="00A6505C"/>
    <w:rsid w:val="00BA2D65"/>
    <w:rsid w:val="00BE61CA"/>
    <w:rsid w:val="00D2209F"/>
    <w:rsid w:val="00D659E8"/>
    <w:rsid w:val="00DD0F97"/>
    <w:rsid w:val="00E1076A"/>
    <w:rsid w:val="00E46C36"/>
    <w:rsid w:val="00E91678"/>
    <w:rsid w:val="00FC0BDC"/>
    <w:rsid w:val="00FD0D84"/>
    <w:rsid w:val="0409DD57"/>
    <w:rsid w:val="0577BD6D"/>
    <w:rsid w:val="063A4BC9"/>
    <w:rsid w:val="075CA7B8"/>
    <w:rsid w:val="08711400"/>
    <w:rsid w:val="0946921E"/>
    <w:rsid w:val="0DB8D142"/>
    <w:rsid w:val="0EB61463"/>
    <w:rsid w:val="11C37903"/>
    <w:rsid w:val="14939931"/>
    <w:rsid w:val="16410265"/>
    <w:rsid w:val="1D83AA75"/>
    <w:rsid w:val="23D35301"/>
    <w:rsid w:val="2605884A"/>
    <w:rsid w:val="2750782C"/>
    <w:rsid w:val="2A21F21F"/>
    <w:rsid w:val="31158DCE"/>
    <w:rsid w:val="36833C71"/>
    <w:rsid w:val="39295AA6"/>
    <w:rsid w:val="3C435AC6"/>
    <w:rsid w:val="3C502877"/>
    <w:rsid w:val="3F83553F"/>
    <w:rsid w:val="410B05EA"/>
    <w:rsid w:val="455969CF"/>
    <w:rsid w:val="47969330"/>
    <w:rsid w:val="4E243D40"/>
    <w:rsid w:val="51B64CAD"/>
    <w:rsid w:val="531F326A"/>
    <w:rsid w:val="56F21A46"/>
    <w:rsid w:val="5B5A9810"/>
    <w:rsid w:val="5CAB3FAA"/>
    <w:rsid w:val="68962156"/>
    <w:rsid w:val="6B87BB24"/>
    <w:rsid w:val="6D1C8FE2"/>
    <w:rsid w:val="6F20370C"/>
    <w:rsid w:val="75630A36"/>
    <w:rsid w:val="75AD9D71"/>
    <w:rsid w:val="7758E12E"/>
    <w:rsid w:val="7AE6F162"/>
    <w:rsid w:val="7B9C7929"/>
    <w:rsid w:val="7D2BE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91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678"/>
  </w:style>
  <w:style w:type="paragraph" w:styleId="Footer">
    <w:name w:val="footer"/>
    <w:basedOn w:val="Normal"/>
    <w:link w:val="FooterChar"/>
    <w:uiPriority w:val="99"/>
    <w:unhideWhenUsed/>
    <w:rsid w:val="00E91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andresriancho.github.io/nimbostratu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E5763-D391-4023-892E-54DFA33F7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B4CBD-A79D-406F-99C4-9E5BD679B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1D7227-5888-4774-A9E7-025B3FE2E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15</cp:revision>
  <dcterms:created xsi:type="dcterms:W3CDTF">2020-02-24T16:54:00Z</dcterms:created>
  <dcterms:modified xsi:type="dcterms:W3CDTF">2023-12-25T17:14:00Z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