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1866" w14:textId="73BEA5DC" w:rsidR="001111EE" w:rsidRPr="001111EE" w:rsidRDefault="001111EE" w:rsidP="32D4EED7">
      <w:pPr>
        <w:shd w:val="clear" w:color="auto" w:fill="FFFFFF" w:themeFill="background1"/>
        <w:spacing w:after="100" w:afterAutospacing="1"/>
        <w:outlineLvl w:val="0"/>
        <w:rPr>
          <w:rFonts w:ascii="Arial" w:eastAsia="Arial" w:hAnsi="Arial" w:cs="Arial"/>
          <w:sz w:val="48"/>
          <w:szCs w:val="48"/>
        </w:rPr>
      </w:pPr>
      <w:r w:rsidRPr="32D4EED7">
        <w:rPr>
          <w:rFonts w:ascii="Arial" w:eastAsia="Arial" w:hAnsi="Arial" w:cs="Arial"/>
          <w:kern w:val="36"/>
          <w:sz w:val="48"/>
          <w:szCs w:val="48"/>
        </w:rPr>
        <w:t xml:space="preserve">Account Manipulation </w:t>
      </w:r>
      <w:r w:rsidR="6AE4309A" w:rsidRPr="41CCFC43">
        <w:rPr>
          <w:rFonts w:ascii="Arial" w:eastAsia="Arial" w:hAnsi="Arial" w:cs="Arial"/>
          <w:color w:val="000000" w:themeColor="text1"/>
          <w:lang w:val="en"/>
        </w:rPr>
        <w:t>(version 1.0)</w:t>
      </w:r>
    </w:p>
    <w:p w14:paraId="28B0A642" w14:textId="27D6499E" w:rsidR="41CCFC43" w:rsidRDefault="41CCFC43" w:rsidP="41CCFC43">
      <w:pPr>
        <w:spacing w:afterAutospacing="1"/>
        <w:rPr>
          <w:rFonts w:ascii="Arial" w:eastAsia="Arial" w:hAnsi="Arial" w:cs="Arial"/>
          <w:b/>
          <w:bCs/>
          <w:color w:val="000000" w:themeColor="text1"/>
          <w:sz w:val="28"/>
          <w:szCs w:val="28"/>
        </w:rPr>
      </w:pPr>
    </w:p>
    <w:p w14:paraId="3313CC0A" w14:textId="11CDC8D9" w:rsidR="09745001" w:rsidRDefault="5D26A6AC" w:rsidP="32D4EED7">
      <w:pPr>
        <w:spacing w:afterAutospacing="1"/>
        <w:rPr>
          <w:rFonts w:ascii="Arial" w:eastAsia="Arial" w:hAnsi="Arial" w:cs="Arial"/>
          <w:color w:val="404040" w:themeColor="text1" w:themeTint="BF"/>
          <w:sz w:val="28"/>
          <w:szCs w:val="28"/>
        </w:rPr>
      </w:pPr>
      <w:r w:rsidRPr="41CCFC43">
        <w:rPr>
          <w:rFonts w:ascii="Arial" w:eastAsia="Arial" w:hAnsi="Arial" w:cs="Arial"/>
          <w:b/>
          <w:bCs/>
          <w:color w:val="404040" w:themeColor="text1" w:themeTint="BF"/>
          <w:sz w:val="28"/>
          <w:szCs w:val="28"/>
        </w:rPr>
        <w:t>Cloud Service Label:  IaaS, PaaS</w:t>
      </w:r>
    </w:p>
    <w:p w14:paraId="1AE346DE" w14:textId="32D450A7" w:rsidR="09745001" w:rsidRDefault="09745001" w:rsidP="32D4EED7">
      <w:pPr>
        <w:shd w:val="clear" w:color="auto" w:fill="FFFFFF" w:themeFill="background1"/>
        <w:spacing w:afterAutospacing="1"/>
        <w:outlineLvl w:val="0"/>
        <w:rPr>
          <w:rFonts w:ascii="Arial" w:eastAsia="Arial" w:hAnsi="Arial" w:cs="Arial"/>
          <w:color w:val="39434C"/>
          <w:sz w:val="48"/>
          <w:szCs w:val="48"/>
        </w:rPr>
      </w:pPr>
    </w:p>
    <w:p w14:paraId="48D773AD" w14:textId="7FB8D678" w:rsidR="78F7BB1C" w:rsidRDefault="78F7BB1C" w:rsidP="41CCFC43">
      <w:pPr>
        <w:shd w:val="clear" w:color="auto" w:fill="FFFFFF" w:themeFill="background1"/>
        <w:spacing w:afterAutospacing="1"/>
        <w:rPr>
          <w:rFonts w:ascii="Arial" w:eastAsia="Arial" w:hAnsi="Arial" w:cs="Arial"/>
          <w:sz w:val="32"/>
          <w:szCs w:val="32"/>
        </w:rPr>
      </w:pPr>
      <w:r w:rsidRPr="41CCFC43">
        <w:rPr>
          <w:rFonts w:ascii="Arial" w:eastAsia="Arial" w:hAnsi="Arial" w:cs="Arial"/>
          <w:sz w:val="32"/>
          <w:szCs w:val="32"/>
        </w:rPr>
        <w:t>Description</w:t>
      </w:r>
    </w:p>
    <w:p w14:paraId="66F0F8C7" w14:textId="77777777" w:rsidR="001111EE" w:rsidRPr="001111EE" w:rsidRDefault="001111EE" w:rsidP="32D4EED7">
      <w:pPr>
        <w:shd w:val="clear" w:color="auto" w:fill="FFFFFF" w:themeFill="background1"/>
        <w:spacing w:after="100" w:afterAutospacing="1"/>
        <w:rPr>
          <w:rFonts w:ascii="Arial" w:eastAsia="Arial" w:hAnsi="Arial" w:cs="Arial"/>
        </w:rPr>
      </w:pPr>
      <w:r w:rsidRPr="32D4EED7">
        <w:rPr>
          <w:rFonts w:ascii="Arial" w:eastAsia="Arial" w:hAnsi="Arial" w:cs="Arial"/>
        </w:rPr>
        <w:t>Account manipulation may aid adversaries in maintaining access to credentials and certain permission levels within an environment. Manipulation could consist of modifying permissions, modifying credentials, adding or changing permission groups, modifying account settings, or modifying how authentication is performed. These actions could also include account activity designed to subvert security policies, such as performing iterative password updates to subvert password duration policies and preserve the life of compromised credentials. In order to create or manipulate accounts, the adversary must already have sufficient permissions on systems or the domain.</w:t>
      </w:r>
    </w:p>
    <w:p w14:paraId="3DB5D1AF" w14:textId="775A1FA5" w:rsidR="001111EE" w:rsidRPr="001111EE" w:rsidRDefault="001111EE" w:rsidP="32D4EED7">
      <w:pPr>
        <w:shd w:val="clear" w:color="auto" w:fill="FFFFFF" w:themeFill="background1"/>
        <w:spacing w:after="100" w:afterAutospacing="1"/>
        <w:outlineLvl w:val="2"/>
        <w:rPr>
          <w:rFonts w:ascii="Arial" w:eastAsia="Arial" w:hAnsi="Arial" w:cs="Arial"/>
          <w:sz w:val="27"/>
          <w:szCs w:val="27"/>
        </w:rPr>
      </w:pPr>
    </w:p>
    <w:p w14:paraId="4AF0AD9A" w14:textId="1846F115" w:rsidR="001111EE" w:rsidRPr="001111EE" w:rsidRDefault="001111EE" w:rsidP="32D4EED7">
      <w:pPr>
        <w:shd w:val="clear" w:color="auto" w:fill="FFFFFF" w:themeFill="background1"/>
        <w:spacing w:after="100" w:afterAutospacing="1"/>
        <w:outlineLvl w:val="2"/>
        <w:rPr>
          <w:rFonts w:ascii="Arial" w:eastAsia="Arial" w:hAnsi="Arial" w:cs="Arial"/>
          <w:i/>
          <w:iCs/>
          <w:sz w:val="27"/>
          <w:szCs w:val="27"/>
        </w:rPr>
      </w:pPr>
      <w:r w:rsidRPr="32D4EED7">
        <w:rPr>
          <w:rFonts w:ascii="Arial" w:eastAsia="Arial" w:hAnsi="Arial" w:cs="Arial"/>
          <w:i/>
          <w:iCs/>
          <w:sz w:val="27"/>
          <w:szCs w:val="27"/>
        </w:rPr>
        <w:t>Azure AD</w:t>
      </w:r>
    </w:p>
    <w:p w14:paraId="46C31B07" w14:textId="7C4147FD" w:rsidR="6F2388B8" w:rsidRDefault="6F2388B8" w:rsidP="32D4EED7">
      <w:pPr>
        <w:shd w:val="clear" w:color="auto" w:fill="FFFFFF" w:themeFill="background1"/>
        <w:spacing w:afterAutospacing="1"/>
        <w:rPr>
          <w:rFonts w:ascii="Arial" w:eastAsia="Arial" w:hAnsi="Arial" w:cs="Arial"/>
        </w:rPr>
      </w:pPr>
      <w:r w:rsidRPr="778404BB">
        <w:rPr>
          <w:rFonts w:ascii="Arial" w:eastAsia="Arial" w:hAnsi="Arial" w:cs="Arial"/>
        </w:rPr>
        <w:t>In Azure, an adversary can set a password for Service Principals, which is an application</w:t>
      </w:r>
      <w:r w:rsidR="7E748C73" w:rsidRPr="778404BB">
        <w:rPr>
          <w:rFonts w:ascii="Arial" w:eastAsia="Arial" w:hAnsi="Arial" w:cs="Arial"/>
        </w:rPr>
        <w:t xml:space="preserve"> specific </w:t>
      </w:r>
      <w:r w:rsidRPr="778404BB">
        <w:rPr>
          <w:rFonts w:ascii="Arial" w:eastAsia="Arial" w:hAnsi="Arial" w:cs="Arial"/>
        </w:rPr>
        <w:t>method of accessing Azure resources.  This could facilitate persistence to all Azure services the SP has access to without using an actual user’s credentials.</w:t>
      </w:r>
      <w:r w:rsidR="3301E310" w:rsidRPr="778404BB">
        <w:rPr>
          <w:rFonts w:ascii="Arial" w:eastAsia="Arial" w:hAnsi="Arial" w:cs="Arial"/>
        </w:rPr>
        <w:t xml:space="preserve">  Azure also allows alternative authentication mechanisms such as SAS tokens and certificates to be created and used rather</w:t>
      </w:r>
      <w:r w:rsidR="7BF06902" w:rsidRPr="778404BB">
        <w:rPr>
          <w:rFonts w:ascii="Arial" w:eastAsia="Arial" w:hAnsi="Arial" w:cs="Arial"/>
        </w:rPr>
        <w:t xml:space="preserve"> than passwords for Azure services.</w:t>
      </w:r>
    </w:p>
    <w:p w14:paraId="53D42FD6" w14:textId="1354D08C" w:rsidR="657727B5" w:rsidRDefault="657727B5" w:rsidP="32D4EED7">
      <w:pPr>
        <w:shd w:val="clear" w:color="auto" w:fill="FFFFFF" w:themeFill="background1"/>
        <w:spacing w:afterAutospacing="1"/>
        <w:rPr>
          <w:rFonts w:ascii="Arial" w:eastAsia="Arial" w:hAnsi="Arial" w:cs="Arial"/>
        </w:rPr>
      </w:pPr>
    </w:p>
    <w:p w14:paraId="67029416" w14:textId="77777777" w:rsidR="001111EE" w:rsidRPr="001111EE" w:rsidRDefault="001111EE" w:rsidP="32D4EED7">
      <w:pPr>
        <w:shd w:val="clear" w:color="auto" w:fill="FFFFFF" w:themeFill="background1"/>
        <w:spacing w:after="100" w:afterAutospacing="1"/>
        <w:outlineLvl w:val="2"/>
        <w:rPr>
          <w:rFonts w:ascii="Arial" w:eastAsia="Arial" w:hAnsi="Arial" w:cs="Arial"/>
          <w:sz w:val="27"/>
          <w:szCs w:val="27"/>
        </w:rPr>
      </w:pPr>
      <w:r w:rsidRPr="32D4EED7">
        <w:rPr>
          <w:rFonts w:ascii="Arial" w:eastAsia="Arial" w:hAnsi="Arial" w:cs="Arial"/>
          <w:i/>
          <w:iCs/>
          <w:sz w:val="27"/>
          <w:szCs w:val="27"/>
        </w:rPr>
        <w:t>AWS</w:t>
      </w:r>
    </w:p>
    <w:p w14:paraId="1087DBE4" w14:textId="7A3C7481" w:rsidR="33CDCA5F" w:rsidRDefault="09745001" w:rsidP="32D4EED7">
      <w:pPr>
        <w:shd w:val="clear" w:color="auto" w:fill="FFFFFF" w:themeFill="background1"/>
        <w:spacing w:afterAutospacing="1"/>
        <w:rPr>
          <w:rFonts w:ascii="Arial" w:eastAsia="Arial" w:hAnsi="Arial" w:cs="Arial"/>
        </w:rPr>
      </w:pPr>
      <w:r w:rsidRPr="32D4EED7">
        <w:rPr>
          <w:rFonts w:ascii="Arial" w:eastAsia="Arial" w:hAnsi="Arial" w:cs="Arial"/>
        </w:rPr>
        <w:t xml:space="preserve">AWS policies allow trust between </w:t>
      </w:r>
      <w:r w:rsidR="59E7704C" w:rsidRPr="32D4EED7">
        <w:rPr>
          <w:rFonts w:ascii="Arial" w:eastAsia="Arial" w:hAnsi="Arial" w:cs="Arial"/>
        </w:rPr>
        <w:t xml:space="preserve">user </w:t>
      </w:r>
      <w:r w:rsidRPr="32D4EED7">
        <w:rPr>
          <w:rFonts w:ascii="Arial" w:eastAsia="Arial" w:hAnsi="Arial" w:cs="Arial"/>
        </w:rPr>
        <w:t xml:space="preserve">accounts </w:t>
      </w:r>
      <w:r w:rsidR="385A72F5" w:rsidRPr="32D4EED7">
        <w:rPr>
          <w:rFonts w:ascii="Arial" w:eastAsia="Arial" w:hAnsi="Arial" w:cs="Arial"/>
        </w:rPr>
        <w:t xml:space="preserve">in different AWS accounts </w:t>
      </w:r>
      <w:r w:rsidRPr="32D4EED7">
        <w:rPr>
          <w:rFonts w:ascii="Arial" w:eastAsia="Arial" w:hAnsi="Arial" w:cs="Arial"/>
        </w:rPr>
        <w:t xml:space="preserve">by simply identifying </w:t>
      </w:r>
      <w:r w:rsidR="5D6A776A" w:rsidRPr="32D4EED7">
        <w:rPr>
          <w:rFonts w:ascii="Arial" w:eastAsia="Arial" w:hAnsi="Arial" w:cs="Arial"/>
        </w:rPr>
        <w:t xml:space="preserve">an </w:t>
      </w:r>
      <w:r w:rsidR="20703786" w:rsidRPr="32D4EED7">
        <w:rPr>
          <w:rFonts w:ascii="Arial" w:eastAsia="Arial" w:hAnsi="Arial" w:cs="Arial"/>
        </w:rPr>
        <w:t xml:space="preserve">external </w:t>
      </w:r>
      <w:r w:rsidR="7BBA6C7D" w:rsidRPr="32D4EED7">
        <w:rPr>
          <w:rFonts w:ascii="Arial" w:eastAsia="Arial" w:hAnsi="Arial" w:cs="Arial"/>
        </w:rPr>
        <w:t xml:space="preserve">Amazon </w:t>
      </w:r>
      <w:r w:rsidRPr="32D4EED7">
        <w:rPr>
          <w:rFonts w:ascii="Arial" w:eastAsia="Arial" w:hAnsi="Arial" w:cs="Arial"/>
        </w:rPr>
        <w:t xml:space="preserve">account </w:t>
      </w:r>
      <w:r w:rsidR="728D1C4D" w:rsidRPr="32D4EED7">
        <w:rPr>
          <w:rFonts w:ascii="Arial" w:eastAsia="Arial" w:hAnsi="Arial" w:cs="Arial"/>
        </w:rPr>
        <w:t>ID</w:t>
      </w:r>
      <w:r w:rsidR="527DF17A" w:rsidRPr="32D4EED7">
        <w:rPr>
          <w:rFonts w:ascii="Arial" w:eastAsia="Arial" w:hAnsi="Arial" w:cs="Arial"/>
        </w:rPr>
        <w:t xml:space="preserve"> and assigning it</w:t>
      </w:r>
      <w:r w:rsidR="6FF51BD4" w:rsidRPr="32D4EED7">
        <w:rPr>
          <w:rFonts w:ascii="Arial" w:eastAsia="Arial" w:hAnsi="Arial" w:cs="Arial"/>
        </w:rPr>
        <w:t xml:space="preserve"> to a native role </w:t>
      </w:r>
      <w:r w:rsidR="7E37A24D" w:rsidRPr="32D4EED7">
        <w:rPr>
          <w:rFonts w:ascii="Arial" w:eastAsia="Arial" w:hAnsi="Arial" w:cs="Arial"/>
        </w:rPr>
        <w:t>with</w:t>
      </w:r>
      <w:r w:rsidR="6FF51BD4" w:rsidRPr="32D4EED7">
        <w:rPr>
          <w:rFonts w:ascii="Arial" w:eastAsia="Arial" w:hAnsi="Arial" w:cs="Arial"/>
        </w:rPr>
        <w:t>in the</w:t>
      </w:r>
      <w:r w:rsidR="181DA4BB" w:rsidRPr="32D4EED7">
        <w:rPr>
          <w:rFonts w:ascii="Arial" w:eastAsia="Arial" w:hAnsi="Arial" w:cs="Arial"/>
        </w:rPr>
        <w:t xml:space="preserve"> existing AWS account</w:t>
      </w:r>
      <w:r w:rsidRPr="32D4EED7">
        <w:rPr>
          <w:rFonts w:ascii="Arial" w:eastAsia="Arial" w:hAnsi="Arial" w:cs="Arial"/>
        </w:rPr>
        <w:t xml:space="preserve">. It is then up to the </w:t>
      </w:r>
      <w:r w:rsidR="17F9DFD2" w:rsidRPr="32D4EED7">
        <w:rPr>
          <w:rFonts w:ascii="Arial" w:eastAsia="Arial" w:hAnsi="Arial" w:cs="Arial"/>
        </w:rPr>
        <w:t xml:space="preserve">cloud admin to notice that this has happened and that </w:t>
      </w:r>
      <w:r w:rsidR="36CF972E" w:rsidRPr="32D4EED7">
        <w:rPr>
          <w:rFonts w:ascii="Arial" w:eastAsia="Arial" w:hAnsi="Arial" w:cs="Arial"/>
        </w:rPr>
        <w:t xml:space="preserve">the role assigned to the trusted account is </w:t>
      </w:r>
      <w:r w:rsidR="115C2FE3" w:rsidRPr="32D4EED7">
        <w:rPr>
          <w:rFonts w:ascii="Arial" w:eastAsia="Arial" w:hAnsi="Arial" w:cs="Arial"/>
        </w:rPr>
        <w:t>permissible</w:t>
      </w:r>
      <w:r w:rsidR="36CF972E" w:rsidRPr="32D4EED7">
        <w:rPr>
          <w:rFonts w:ascii="Arial" w:eastAsia="Arial" w:hAnsi="Arial" w:cs="Arial"/>
        </w:rPr>
        <w:t>.</w:t>
      </w:r>
    </w:p>
    <w:p w14:paraId="791F3867" w14:textId="20BF3384" w:rsidR="15855C2D" w:rsidRDefault="15855C2D" w:rsidP="32D4EED7">
      <w:pPr>
        <w:shd w:val="clear" w:color="auto" w:fill="FFFFFF" w:themeFill="background1"/>
        <w:spacing w:afterAutospacing="1"/>
        <w:outlineLvl w:val="1"/>
        <w:rPr>
          <w:rFonts w:ascii="Arial" w:eastAsia="Arial" w:hAnsi="Arial" w:cs="Arial"/>
          <w:color w:val="39434C"/>
          <w:sz w:val="36"/>
          <w:szCs w:val="36"/>
        </w:rPr>
      </w:pPr>
    </w:p>
    <w:p w14:paraId="1ADBCCC3" w14:textId="5CC74531" w:rsidR="6F2388B8" w:rsidRDefault="15855C2D" w:rsidP="00E5055F">
      <w:pPr>
        <w:shd w:val="clear" w:color="auto" w:fill="FFFFFF" w:themeFill="background1"/>
        <w:tabs>
          <w:tab w:val="left" w:pos="5430"/>
        </w:tabs>
        <w:spacing w:afterAutospacing="1"/>
        <w:outlineLvl w:val="1"/>
        <w:rPr>
          <w:rFonts w:ascii="Arial" w:eastAsia="Arial" w:hAnsi="Arial" w:cs="Arial"/>
          <w:color w:val="39434C"/>
          <w:sz w:val="36"/>
          <w:szCs w:val="36"/>
        </w:rPr>
      </w:pPr>
      <w:r w:rsidRPr="41CCFC43">
        <w:rPr>
          <w:rFonts w:ascii="Arial" w:eastAsia="Arial" w:hAnsi="Arial" w:cs="Arial"/>
          <w:sz w:val="32"/>
          <w:szCs w:val="32"/>
        </w:rPr>
        <w:lastRenderedPageBreak/>
        <w:t>Examples</w:t>
      </w:r>
      <w:r w:rsidR="00E5055F">
        <w:rPr>
          <w:rFonts w:ascii="Arial" w:eastAsia="Arial" w:hAnsi="Arial" w:cs="Arial"/>
          <w:sz w:val="32"/>
          <w:szCs w:val="32"/>
        </w:rPr>
        <w:tab/>
      </w:r>
    </w:p>
    <w:tbl>
      <w:tblPr>
        <w:tblStyle w:val="TableGrid"/>
        <w:tblW w:w="9360" w:type="dxa"/>
        <w:tblLayout w:type="fixed"/>
        <w:tblLook w:val="04A0" w:firstRow="1" w:lastRow="0" w:firstColumn="1" w:lastColumn="0" w:noHBand="0" w:noVBand="1"/>
      </w:tblPr>
      <w:tblGrid>
        <w:gridCol w:w="3075"/>
        <w:gridCol w:w="6285"/>
      </w:tblGrid>
      <w:tr w:rsidR="32D4EED7" w14:paraId="36AD2E46" w14:textId="77777777" w:rsidTr="4D0852A4">
        <w:tc>
          <w:tcPr>
            <w:tcW w:w="3075" w:type="dxa"/>
          </w:tcPr>
          <w:p w14:paraId="2DB96C5A" w14:textId="6BDC7B86" w:rsidR="32D4EED7" w:rsidRDefault="32D4EED7" w:rsidP="32D4EED7">
            <w:pPr>
              <w:rPr>
                <w:rFonts w:ascii="Arial" w:eastAsia="Arial" w:hAnsi="Arial" w:cs="Arial"/>
              </w:rPr>
            </w:pPr>
            <w:r w:rsidRPr="32D4EED7">
              <w:rPr>
                <w:rFonts w:ascii="Arial" w:eastAsia="Arial" w:hAnsi="Arial" w:cs="Arial"/>
                <w:b/>
                <w:bCs/>
              </w:rPr>
              <w:t>Name</w:t>
            </w:r>
            <w:r w:rsidRPr="32D4EED7">
              <w:rPr>
                <w:rFonts w:ascii="Arial" w:eastAsia="Arial" w:hAnsi="Arial" w:cs="Arial"/>
              </w:rPr>
              <w:t> </w:t>
            </w:r>
          </w:p>
        </w:tc>
        <w:tc>
          <w:tcPr>
            <w:tcW w:w="6285" w:type="dxa"/>
          </w:tcPr>
          <w:p w14:paraId="0332934B" w14:textId="479E57A6" w:rsidR="32D4EED7" w:rsidRDefault="32D4EED7" w:rsidP="32D4EED7">
            <w:pPr>
              <w:rPr>
                <w:rFonts w:ascii="Arial" w:eastAsia="Arial" w:hAnsi="Arial" w:cs="Arial"/>
              </w:rPr>
            </w:pPr>
            <w:r w:rsidRPr="32D4EED7">
              <w:rPr>
                <w:rFonts w:ascii="Arial" w:eastAsia="Arial" w:hAnsi="Arial" w:cs="Arial"/>
                <w:b/>
                <w:bCs/>
              </w:rPr>
              <w:t>Description</w:t>
            </w:r>
            <w:r w:rsidRPr="32D4EED7">
              <w:rPr>
                <w:rFonts w:ascii="Arial" w:eastAsia="Arial" w:hAnsi="Arial" w:cs="Arial"/>
              </w:rPr>
              <w:t> </w:t>
            </w:r>
          </w:p>
        </w:tc>
      </w:tr>
      <w:tr w:rsidR="32D4EED7" w14:paraId="2F54C0DA" w14:textId="77777777" w:rsidTr="4D0852A4">
        <w:tc>
          <w:tcPr>
            <w:tcW w:w="3075" w:type="dxa"/>
          </w:tcPr>
          <w:p w14:paraId="007D49F5" w14:textId="54C79E0E" w:rsidR="1E3A963A" w:rsidRDefault="1E3A963A" w:rsidP="32D4EED7">
            <w:pPr>
              <w:spacing w:line="259" w:lineRule="auto"/>
            </w:pPr>
            <w:r w:rsidRPr="32D4EED7">
              <w:rPr>
                <w:rFonts w:ascii="Arial" w:eastAsia="Arial" w:hAnsi="Arial" w:cs="Arial"/>
                <w:sz w:val="18"/>
                <w:szCs w:val="18"/>
              </w:rPr>
              <w:t>Skeleton Key</w:t>
            </w:r>
          </w:p>
          <w:p w14:paraId="0584E033" w14:textId="3B994F84" w:rsidR="32D4EED7" w:rsidRDefault="32D4EED7" w:rsidP="32D4EED7">
            <w:pPr>
              <w:rPr>
                <w:rFonts w:ascii="Arial" w:eastAsia="Arial" w:hAnsi="Arial" w:cs="Arial"/>
                <w:sz w:val="18"/>
                <w:szCs w:val="18"/>
              </w:rPr>
            </w:pPr>
          </w:p>
        </w:tc>
        <w:tc>
          <w:tcPr>
            <w:tcW w:w="6285" w:type="dxa"/>
          </w:tcPr>
          <w:p w14:paraId="3E8721DC" w14:textId="2187C90D" w:rsidR="1C8EE8D2" w:rsidRDefault="7642905C" w:rsidP="4D0852A4">
            <w:pPr>
              <w:spacing w:line="259" w:lineRule="auto"/>
              <w:rPr>
                <w:rFonts w:ascii="Arial" w:eastAsia="Arial" w:hAnsi="Arial" w:cs="Arial"/>
                <w:color w:val="595959" w:themeColor="text1" w:themeTint="A6"/>
                <w:sz w:val="18"/>
                <w:szCs w:val="18"/>
              </w:rPr>
            </w:pPr>
            <w:r w:rsidRPr="4D0852A4">
              <w:rPr>
                <w:rFonts w:ascii="Arial" w:eastAsia="Arial" w:hAnsi="Arial" w:cs="Arial"/>
                <w:color w:val="595959" w:themeColor="text1" w:themeTint="A6"/>
                <w:sz w:val="18"/>
                <w:szCs w:val="18"/>
              </w:rPr>
              <w:t>This exploit is possible after an adversary compromises a server that is running an Azure agent</w:t>
            </w:r>
            <w:r w:rsidR="3AE21824" w:rsidRPr="4D0852A4">
              <w:rPr>
                <w:rFonts w:ascii="Arial" w:eastAsia="Arial" w:hAnsi="Arial" w:cs="Arial"/>
                <w:color w:val="595959" w:themeColor="text1" w:themeTint="A6"/>
                <w:sz w:val="18"/>
                <w:szCs w:val="18"/>
              </w:rPr>
              <w:t xml:space="preserve">. </w:t>
            </w:r>
            <w:r w:rsidR="4DE16243" w:rsidRPr="4D0852A4">
              <w:rPr>
                <w:rFonts w:ascii="Arial" w:eastAsia="Arial" w:hAnsi="Arial" w:cs="Arial"/>
                <w:color w:val="595959" w:themeColor="text1" w:themeTint="A6"/>
                <w:sz w:val="18"/>
                <w:szCs w:val="18"/>
              </w:rPr>
              <w:t>Once compromised the authentication flow that is used to verify credentials can be tampered with</w:t>
            </w:r>
            <w:r w:rsidR="7AD21FBC" w:rsidRPr="4D0852A4">
              <w:rPr>
                <w:rFonts w:ascii="Arial" w:eastAsia="Arial" w:hAnsi="Arial" w:cs="Arial"/>
                <w:color w:val="595959" w:themeColor="text1" w:themeTint="A6"/>
                <w:sz w:val="18"/>
                <w:szCs w:val="18"/>
              </w:rPr>
              <w:t xml:space="preserve">. This attack requires </w:t>
            </w:r>
            <w:r w:rsidR="6265AEBC" w:rsidRPr="4D0852A4">
              <w:rPr>
                <w:rFonts w:ascii="Arial" w:eastAsia="Arial" w:hAnsi="Arial" w:cs="Arial"/>
                <w:color w:val="595959" w:themeColor="text1" w:themeTint="A6"/>
                <w:sz w:val="18"/>
                <w:szCs w:val="18"/>
              </w:rPr>
              <w:t>privileged</w:t>
            </w:r>
            <w:r w:rsidR="7AD21FBC" w:rsidRPr="4D0852A4">
              <w:rPr>
                <w:rFonts w:ascii="Arial" w:eastAsia="Arial" w:hAnsi="Arial" w:cs="Arial"/>
                <w:color w:val="595959" w:themeColor="text1" w:themeTint="A6"/>
                <w:sz w:val="18"/>
                <w:szCs w:val="18"/>
              </w:rPr>
              <w:t xml:space="preserve"> access to complete.</w:t>
            </w:r>
          </w:p>
        </w:tc>
      </w:tr>
    </w:tbl>
    <w:p w14:paraId="734D983C" w14:textId="07837218" w:rsidR="32D4EED7" w:rsidRDefault="32D4EED7" w:rsidP="41CCFC43">
      <w:pPr>
        <w:spacing w:beforeAutospacing="1" w:afterAutospacing="1"/>
        <w:rPr>
          <w:rFonts w:ascii="Times New Roman" w:eastAsia="Times New Roman" w:hAnsi="Times New Roman" w:cs="Times New Roman"/>
        </w:rPr>
      </w:pPr>
    </w:p>
    <w:p w14:paraId="6A8D294E" w14:textId="1FF374E1" w:rsidR="41CCFC43" w:rsidRDefault="41CCFC43" w:rsidP="41CCFC43">
      <w:pPr>
        <w:spacing w:beforeAutospacing="1" w:afterAutospacing="1"/>
        <w:rPr>
          <w:rFonts w:ascii="Times New Roman" w:eastAsia="Times New Roman" w:hAnsi="Times New Roman" w:cs="Times New Roman"/>
        </w:rPr>
      </w:pPr>
    </w:p>
    <w:p w14:paraId="3D599C57" w14:textId="03911525" w:rsidR="6F2388B8" w:rsidRDefault="6F2388B8" w:rsidP="32D4EED7">
      <w:pPr>
        <w:shd w:val="clear" w:color="auto" w:fill="FFFFFF" w:themeFill="background1"/>
        <w:spacing w:afterAutospacing="1"/>
        <w:outlineLvl w:val="1"/>
        <w:rPr>
          <w:rFonts w:ascii="Arial" w:eastAsia="Arial" w:hAnsi="Arial" w:cs="Arial"/>
          <w:sz w:val="32"/>
          <w:szCs w:val="32"/>
        </w:rPr>
      </w:pPr>
      <w:r w:rsidRPr="32D4EED7">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425"/>
        <w:gridCol w:w="1680"/>
        <w:gridCol w:w="6255"/>
      </w:tblGrid>
      <w:tr w:rsidR="32D4EED7" w14:paraId="1EF7980F" w14:textId="77777777" w:rsidTr="67CA9103">
        <w:tc>
          <w:tcPr>
            <w:tcW w:w="3105" w:type="dxa"/>
            <w:gridSpan w:val="2"/>
          </w:tcPr>
          <w:p w14:paraId="5CE0C864" w14:textId="2D93D5E2" w:rsidR="32D4EED7" w:rsidRDefault="3AE7C855" w:rsidP="41CCFC43">
            <w:pPr>
              <w:rPr>
                <w:rFonts w:ascii="Arial" w:eastAsia="Arial" w:hAnsi="Arial" w:cs="Arial"/>
              </w:rPr>
            </w:pPr>
            <w:r w:rsidRPr="41CCFC43">
              <w:rPr>
                <w:rFonts w:ascii="Arial" w:eastAsia="Arial" w:hAnsi="Arial" w:cs="Arial"/>
                <w:b/>
                <w:bCs/>
              </w:rPr>
              <w:t>Mitigation</w:t>
            </w:r>
          </w:p>
        </w:tc>
        <w:tc>
          <w:tcPr>
            <w:tcW w:w="6255" w:type="dxa"/>
          </w:tcPr>
          <w:p w14:paraId="068078BC" w14:textId="479E57A6" w:rsidR="32D4EED7" w:rsidRDefault="32D4EED7" w:rsidP="32D4EED7">
            <w:pPr>
              <w:rPr>
                <w:rFonts w:ascii="Arial" w:eastAsia="Arial" w:hAnsi="Arial" w:cs="Arial"/>
              </w:rPr>
            </w:pPr>
            <w:r w:rsidRPr="32D4EED7">
              <w:rPr>
                <w:rFonts w:ascii="Arial" w:eastAsia="Arial" w:hAnsi="Arial" w:cs="Arial"/>
                <w:b/>
                <w:bCs/>
              </w:rPr>
              <w:t>Description</w:t>
            </w:r>
            <w:r w:rsidRPr="32D4EED7">
              <w:rPr>
                <w:rFonts w:ascii="Arial" w:eastAsia="Arial" w:hAnsi="Arial" w:cs="Arial"/>
              </w:rPr>
              <w:t> </w:t>
            </w:r>
          </w:p>
        </w:tc>
      </w:tr>
      <w:tr w:rsidR="32D4EED7" w14:paraId="40E99C13" w14:textId="77777777" w:rsidTr="67CA9103">
        <w:tc>
          <w:tcPr>
            <w:tcW w:w="3105" w:type="dxa"/>
            <w:gridSpan w:val="2"/>
          </w:tcPr>
          <w:p w14:paraId="344209F4" w14:textId="77777777" w:rsidR="676C7122" w:rsidRDefault="00000000" w:rsidP="32D4EED7">
            <w:pPr>
              <w:rPr>
                <w:rFonts w:ascii="Arial" w:eastAsia="Arial" w:hAnsi="Arial" w:cs="Arial"/>
                <w:sz w:val="18"/>
                <w:szCs w:val="18"/>
              </w:rPr>
            </w:pPr>
            <w:hyperlink r:id="rId10">
              <w:r w:rsidR="676C7122" w:rsidRPr="32D4EED7">
                <w:rPr>
                  <w:rFonts w:ascii="Arial" w:eastAsia="Arial" w:hAnsi="Arial" w:cs="Arial"/>
                  <w:sz w:val="18"/>
                  <w:szCs w:val="18"/>
                </w:rPr>
                <w:t>Multi-factor Authentication</w:t>
              </w:r>
            </w:hyperlink>
          </w:p>
          <w:p w14:paraId="105F798F" w14:textId="493E8E17" w:rsidR="32D4EED7" w:rsidRDefault="32D4EED7" w:rsidP="32D4EED7">
            <w:pPr>
              <w:rPr>
                <w:rFonts w:ascii="Arial" w:eastAsia="Arial" w:hAnsi="Arial" w:cs="Arial"/>
                <w:sz w:val="18"/>
                <w:szCs w:val="18"/>
              </w:rPr>
            </w:pPr>
          </w:p>
        </w:tc>
        <w:tc>
          <w:tcPr>
            <w:tcW w:w="6255" w:type="dxa"/>
          </w:tcPr>
          <w:p w14:paraId="118DB6DC" w14:textId="71782747" w:rsidR="76EA21B5" w:rsidRDefault="76EA21B5" w:rsidP="4D0852A4">
            <w:pPr>
              <w:rPr>
                <w:rFonts w:ascii="Arial" w:eastAsia="Arial" w:hAnsi="Arial" w:cs="Arial"/>
                <w:color w:val="595959" w:themeColor="text1" w:themeTint="A6"/>
                <w:sz w:val="18"/>
                <w:szCs w:val="18"/>
              </w:rPr>
            </w:pPr>
            <w:r w:rsidRPr="4D0852A4">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w:t>
            </w:r>
          </w:p>
        </w:tc>
      </w:tr>
      <w:tr w:rsidR="00F99322" w14:paraId="456019DC" w14:textId="77777777" w:rsidTr="67CA9103">
        <w:tc>
          <w:tcPr>
            <w:tcW w:w="1425" w:type="dxa"/>
          </w:tcPr>
          <w:p w14:paraId="6D1B5BE9" w14:textId="47BEDFDF" w:rsidR="00F99322" w:rsidRDefault="00F99322" w:rsidP="00F99322">
            <w:pPr>
              <w:rPr>
                <w:rFonts w:ascii="Arial" w:eastAsia="Arial" w:hAnsi="Arial" w:cs="Arial"/>
                <w:sz w:val="18"/>
                <w:szCs w:val="18"/>
              </w:rPr>
            </w:pPr>
          </w:p>
        </w:tc>
        <w:tc>
          <w:tcPr>
            <w:tcW w:w="1680" w:type="dxa"/>
          </w:tcPr>
          <w:p w14:paraId="6ECD2E7F" w14:textId="3EDEB92B" w:rsidR="021E13DA" w:rsidRDefault="021E13DA" w:rsidP="00F99322">
            <w:pPr>
              <w:rPr>
                <w:rFonts w:ascii="Arial" w:eastAsia="Arial" w:hAnsi="Arial" w:cs="Arial"/>
                <w:sz w:val="18"/>
                <w:szCs w:val="18"/>
              </w:rPr>
            </w:pPr>
            <w:r w:rsidRPr="00F99322">
              <w:rPr>
                <w:rFonts w:ascii="Arial" w:eastAsia="Arial" w:hAnsi="Arial" w:cs="Arial"/>
                <w:i/>
                <w:iCs/>
                <w:sz w:val="18"/>
                <w:szCs w:val="18"/>
              </w:rPr>
              <w:t>AWS</w:t>
            </w:r>
          </w:p>
        </w:tc>
        <w:tc>
          <w:tcPr>
            <w:tcW w:w="6255" w:type="dxa"/>
          </w:tcPr>
          <w:p w14:paraId="5D4562FC" w14:textId="2C254AFA" w:rsidR="021E13DA" w:rsidRDefault="021E13DA" w:rsidP="4D0852A4">
            <w:pPr>
              <w:rPr>
                <w:rFonts w:ascii="Arial" w:eastAsia="Arial" w:hAnsi="Arial" w:cs="Arial"/>
                <w:color w:val="595959" w:themeColor="text1" w:themeTint="A6"/>
                <w:sz w:val="18"/>
                <w:szCs w:val="18"/>
                <w:u w:val="single"/>
              </w:rPr>
            </w:pPr>
            <w:r w:rsidRPr="4D0852A4">
              <w:rPr>
                <w:rFonts w:ascii="Arial" w:eastAsia="Arial" w:hAnsi="Arial" w:cs="Arial"/>
                <w:color w:val="595959" w:themeColor="text1" w:themeTint="A6"/>
                <w:sz w:val="18"/>
                <w:szCs w:val="18"/>
              </w:rPr>
              <w:t xml:space="preserve">All users should be required to utilize two factor authentication. 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4D0852A4">
              <w:rPr>
                <w:rFonts w:ascii="Arial" w:eastAsia="Arial" w:hAnsi="Arial" w:cs="Arial"/>
                <w:b/>
                <w:bCs/>
                <w:color w:val="595959" w:themeColor="text1" w:themeTint="A6"/>
                <w:sz w:val="18"/>
                <w:szCs w:val="18"/>
              </w:rPr>
              <w:t>https://docs.aws.amazon.com/IAM/latest/UserGuide/tutorial_users-self-manage-mfa-and-creds.html.</w:t>
            </w:r>
          </w:p>
        </w:tc>
      </w:tr>
      <w:tr w:rsidR="00F99322" w14:paraId="1636B4BD" w14:textId="77777777" w:rsidTr="67CA9103">
        <w:tc>
          <w:tcPr>
            <w:tcW w:w="1425" w:type="dxa"/>
          </w:tcPr>
          <w:p w14:paraId="5C6797B2" w14:textId="43622C13" w:rsidR="00F99322" w:rsidRDefault="00F99322" w:rsidP="00F99322">
            <w:pPr>
              <w:rPr>
                <w:rFonts w:ascii="Arial" w:eastAsia="Arial" w:hAnsi="Arial" w:cs="Arial"/>
                <w:sz w:val="18"/>
                <w:szCs w:val="18"/>
              </w:rPr>
            </w:pPr>
          </w:p>
        </w:tc>
        <w:tc>
          <w:tcPr>
            <w:tcW w:w="1680" w:type="dxa"/>
          </w:tcPr>
          <w:p w14:paraId="4DDCFCC6" w14:textId="25F3A450" w:rsidR="021E13DA" w:rsidRDefault="021E13DA" w:rsidP="00F99322">
            <w:pPr>
              <w:rPr>
                <w:rFonts w:ascii="Arial" w:eastAsia="Arial" w:hAnsi="Arial" w:cs="Arial"/>
                <w:i/>
                <w:iCs/>
                <w:sz w:val="18"/>
                <w:szCs w:val="18"/>
              </w:rPr>
            </w:pPr>
            <w:r w:rsidRPr="00F99322">
              <w:rPr>
                <w:rFonts w:ascii="Arial" w:eastAsia="Arial" w:hAnsi="Arial" w:cs="Arial"/>
                <w:i/>
                <w:iCs/>
                <w:sz w:val="18"/>
                <w:szCs w:val="18"/>
              </w:rPr>
              <w:t>Azure</w:t>
            </w:r>
          </w:p>
        </w:tc>
        <w:tc>
          <w:tcPr>
            <w:tcW w:w="6255" w:type="dxa"/>
          </w:tcPr>
          <w:p w14:paraId="12864B05" w14:textId="7C66522F" w:rsidR="021E13DA" w:rsidRDefault="021E13DA" w:rsidP="4D0852A4">
            <w:pPr>
              <w:rPr>
                <w:rFonts w:ascii="Arial" w:eastAsia="Arial" w:hAnsi="Arial" w:cs="Arial"/>
                <w:color w:val="595959" w:themeColor="text1" w:themeTint="A6"/>
                <w:sz w:val="18"/>
                <w:szCs w:val="18"/>
                <w:u w:val="single"/>
              </w:rPr>
            </w:pPr>
            <w:r w:rsidRPr="4D0852A4">
              <w:rPr>
                <w:rFonts w:ascii="Arial" w:eastAsia="Arial" w:hAnsi="Arial" w:cs="Arial"/>
                <w:color w:val="595959" w:themeColor="text1" w:themeTint="A6"/>
                <w:sz w:val="18"/>
                <w:szCs w:val="18"/>
              </w:rPr>
              <w:t xml:space="preserve">All users should be required to utilize two factor authentication. This can be done by creating a MFA registration policy. It can </w:t>
            </w:r>
            <w:proofErr w:type="spellStart"/>
            <w:r w:rsidRPr="4D0852A4">
              <w:rPr>
                <w:rFonts w:ascii="Arial" w:eastAsia="Arial" w:hAnsi="Arial" w:cs="Arial"/>
                <w:color w:val="595959" w:themeColor="text1" w:themeTint="A6"/>
                <w:sz w:val="18"/>
                <w:szCs w:val="18"/>
              </w:rPr>
              <w:t>than</w:t>
            </w:r>
            <w:proofErr w:type="spellEnd"/>
            <w:r w:rsidRPr="4D0852A4">
              <w:rPr>
                <w:rFonts w:ascii="Arial" w:eastAsia="Arial" w:hAnsi="Arial" w:cs="Arial"/>
                <w:color w:val="595959" w:themeColor="text1" w:themeTint="A6"/>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4D0852A4">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00F99322" w14:paraId="72F179D4" w14:textId="77777777" w:rsidTr="67CA9103">
        <w:tc>
          <w:tcPr>
            <w:tcW w:w="1425" w:type="dxa"/>
          </w:tcPr>
          <w:p w14:paraId="7EFC8A45" w14:textId="35D8B874" w:rsidR="00F99322" w:rsidRDefault="00F99322" w:rsidP="00F99322">
            <w:pPr>
              <w:rPr>
                <w:rFonts w:ascii="Arial" w:eastAsia="Arial" w:hAnsi="Arial" w:cs="Arial"/>
                <w:sz w:val="18"/>
                <w:szCs w:val="18"/>
              </w:rPr>
            </w:pPr>
          </w:p>
        </w:tc>
        <w:tc>
          <w:tcPr>
            <w:tcW w:w="1680" w:type="dxa"/>
          </w:tcPr>
          <w:p w14:paraId="0C77B899" w14:textId="6541C320" w:rsidR="021E13DA" w:rsidRDefault="021E13DA" w:rsidP="00F99322">
            <w:pPr>
              <w:rPr>
                <w:rFonts w:ascii="Arial" w:eastAsia="Arial" w:hAnsi="Arial" w:cs="Arial"/>
                <w:i/>
                <w:iCs/>
                <w:sz w:val="18"/>
                <w:szCs w:val="18"/>
              </w:rPr>
            </w:pPr>
            <w:r w:rsidRPr="00F99322">
              <w:rPr>
                <w:rFonts w:ascii="Arial" w:eastAsia="Arial" w:hAnsi="Arial" w:cs="Arial"/>
                <w:i/>
                <w:iCs/>
                <w:sz w:val="18"/>
                <w:szCs w:val="18"/>
              </w:rPr>
              <w:t>GCP</w:t>
            </w:r>
          </w:p>
        </w:tc>
        <w:tc>
          <w:tcPr>
            <w:tcW w:w="6255" w:type="dxa"/>
          </w:tcPr>
          <w:p w14:paraId="53EB86C4" w14:textId="13357890" w:rsidR="021E13DA" w:rsidRDefault="021E13DA" w:rsidP="4D0852A4">
            <w:pPr>
              <w:rPr>
                <w:rFonts w:ascii="Arial" w:eastAsia="Arial" w:hAnsi="Arial" w:cs="Arial"/>
                <w:color w:val="595959" w:themeColor="text1" w:themeTint="A6"/>
                <w:sz w:val="18"/>
                <w:szCs w:val="18"/>
                <w:u w:val="single"/>
              </w:rPr>
            </w:pPr>
            <w:r w:rsidRPr="4D0852A4">
              <w:rPr>
                <w:rFonts w:ascii="Arial" w:eastAsia="Arial" w:hAnsi="Arial" w:cs="Arial"/>
                <w:color w:val="595959" w:themeColor="text1" w:themeTint="A6"/>
                <w:sz w:val="18"/>
                <w:szCs w:val="18"/>
              </w:rPr>
              <w:t xml:space="preserve">All users should be required to utilize two factor authentication. 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4D0852A4">
              <w:rPr>
                <w:rFonts w:ascii="Arial" w:eastAsia="Arial" w:hAnsi="Arial" w:cs="Arial"/>
                <w:b/>
                <w:bCs/>
                <w:color w:val="595959" w:themeColor="text1" w:themeTint="A6"/>
                <w:sz w:val="18"/>
                <w:szCs w:val="18"/>
              </w:rPr>
              <w:t>https://cloud.google.com/compute/docs/oslogin/setup-two-factor-authentication.</w:t>
            </w:r>
          </w:p>
        </w:tc>
      </w:tr>
      <w:tr w:rsidR="32D4EED7" w14:paraId="5969072E" w14:textId="77777777" w:rsidTr="67CA9103">
        <w:tc>
          <w:tcPr>
            <w:tcW w:w="3105" w:type="dxa"/>
            <w:gridSpan w:val="2"/>
          </w:tcPr>
          <w:p w14:paraId="4177645A" w14:textId="2D174251" w:rsidR="76EA21B5" w:rsidRDefault="00000000" w:rsidP="32D4EED7">
            <w:pPr>
              <w:rPr>
                <w:rFonts w:ascii="Arial" w:eastAsia="Arial" w:hAnsi="Arial" w:cs="Arial"/>
                <w:sz w:val="18"/>
                <w:szCs w:val="18"/>
              </w:rPr>
            </w:pPr>
            <w:hyperlink r:id="rId11">
              <w:r w:rsidR="76EA21B5" w:rsidRPr="32D4EED7">
                <w:rPr>
                  <w:rFonts w:ascii="Arial" w:eastAsia="Arial" w:hAnsi="Arial" w:cs="Arial"/>
                  <w:sz w:val="18"/>
                  <w:szCs w:val="18"/>
                </w:rPr>
                <w:t>Account Segmentation</w:t>
              </w:r>
            </w:hyperlink>
          </w:p>
          <w:p w14:paraId="04BAE42B" w14:textId="360C3A4C" w:rsidR="32D4EED7" w:rsidRDefault="32D4EED7" w:rsidP="32D4EED7">
            <w:pPr>
              <w:rPr>
                <w:rFonts w:ascii="Arial" w:eastAsia="Arial" w:hAnsi="Arial" w:cs="Arial"/>
                <w:sz w:val="18"/>
                <w:szCs w:val="18"/>
              </w:rPr>
            </w:pPr>
          </w:p>
        </w:tc>
        <w:tc>
          <w:tcPr>
            <w:tcW w:w="6255" w:type="dxa"/>
          </w:tcPr>
          <w:p w14:paraId="6FC27B1B" w14:textId="4053F4F1" w:rsidR="76EA21B5" w:rsidRDefault="76EA21B5" w:rsidP="4D0852A4">
            <w:pPr>
              <w:rPr>
                <w:rFonts w:ascii="Arial" w:eastAsia="Arial" w:hAnsi="Arial" w:cs="Arial"/>
                <w:color w:val="595959" w:themeColor="text1" w:themeTint="A6"/>
                <w:sz w:val="18"/>
                <w:szCs w:val="18"/>
              </w:rPr>
            </w:pPr>
            <w:r w:rsidRPr="4D0852A4">
              <w:rPr>
                <w:rFonts w:ascii="Arial" w:eastAsia="Arial" w:hAnsi="Arial" w:cs="Arial"/>
                <w:color w:val="595959" w:themeColor="text1" w:themeTint="A6"/>
                <w:sz w:val="18"/>
                <w:szCs w:val="18"/>
              </w:rPr>
              <w:t>Consider separating different resources under different administrative domains so that credential compromise does not put all assets in danger.  In the case of Azure, multiple subscriptions can be created with different administrators that can only access resources within the subscription.  The subscriptions can still belong under the same Azure account for overall accounting and administration/policy.</w:t>
            </w:r>
          </w:p>
        </w:tc>
      </w:tr>
      <w:tr w:rsidR="32D4EED7" w14:paraId="2EE9D701" w14:textId="77777777" w:rsidTr="67CA9103">
        <w:tc>
          <w:tcPr>
            <w:tcW w:w="3105" w:type="dxa"/>
            <w:gridSpan w:val="2"/>
          </w:tcPr>
          <w:p w14:paraId="4AF43363" w14:textId="1BF57D9D" w:rsidR="76EA21B5" w:rsidRDefault="00000000" w:rsidP="32D4EED7">
            <w:pPr>
              <w:rPr>
                <w:rFonts w:ascii="Arial" w:eastAsia="Arial" w:hAnsi="Arial" w:cs="Arial"/>
                <w:sz w:val="18"/>
                <w:szCs w:val="18"/>
              </w:rPr>
            </w:pPr>
            <w:hyperlink r:id="rId12">
              <w:r w:rsidR="76EA21B5" w:rsidRPr="32D4EED7">
                <w:rPr>
                  <w:rFonts w:ascii="Arial" w:eastAsia="Arial" w:hAnsi="Arial" w:cs="Arial"/>
                  <w:sz w:val="18"/>
                  <w:szCs w:val="18"/>
                </w:rPr>
                <w:t>AD Server Configuration</w:t>
              </w:r>
            </w:hyperlink>
          </w:p>
          <w:p w14:paraId="16C8E532" w14:textId="7343433A" w:rsidR="32D4EED7" w:rsidRDefault="32D4EED7" w:rsidP="32D4EED7">
            <w:pPr>
              <w:rPr>
                <w:rFonts w:ascii="Arial" w:eastAsia="Arial" w:hAnsi="Arial" w:cs="Arial"/>
                <w:sz w:val="18"/>
                <w:szCs w:val="18"/>
              </w:rPr>
            </w:pPr>
          </w:p>
        </w:tc>
        <w:tc>
          <w:tcPr>
            <w:tcW w:w="6255" w:type="dxa"/>
          </w:tcPr>
          <w:p w14:paraId="16827497" w14:textId="48BC1CDC" w:rsidR="76EA21B5" w:rsidRDefault="76EA21B5" w:rsidP="4D0852A4">
            <w:pPr>
              <w:rPr>
                <w:rFonts w:ascii="Arial" w:eastAsia="Arial" w:hAnsi="Arial" w:cs="Arial"/>
                <w:color w:val="595959" w:themeColor="text1" w:themeTint="A6"/>
                <w:sz w:val="18"/>
                <w:szCs w:val="18"/>
              </w:rPr>
            </w:pPr>
            <w:r w:rsidRPr="4D0852A4">
              <w:rPr>
                <w:rFonts w:ascii="Arial" w:eastAsia="Arial" w:hAnsi="Arial" w:cs="Arial"/>
                <w:color w:val="595959" w:themeColor="text1" w:themeTint="A6"/>
                <w:sz w:val="18"/>
                <w:szCs w:val="18"/>
              </w:rPr>
              <w:t>Use Cloud provided AD services rather than maintaining AD servers in the cloud.</w:t>
            </w:r>
          </w:p>
        </w:tc>
      </w:tr>
      <w:tr w:rsidR="32D4EED7" w14:paraId="4C2DD101" w14:textId="77777777" w:rsidTr="67CA9103">
        <w:tc>
          <w:tcPr>
            <w:tcW w:w="3105" w:type="dxa"/>
            <w:gridSpan w:val="2"/>
          </w:tcPr>
          <w:p w14:paraId="18D6EABF" w14:textId="77777777" w:rsidR="76EA21B5" w:rsidRDefault="00000000" w:rsidP="32D4EED7">
            <w:pPr>
              <w:rPr>
                <w:rFonts w:ascii="Arial" w:eastAsia="Arial" w:hAnsi="Arial" w:cs="Arial"/>
                <w:sz w:val="18"/>
                <w:szCs w:val="18"/>
              </w:rPr>
            </w:pPr>
            <w:hyperlink r:id="rId13">
              <w:r w:rsidR="76EA21B5" w:rsidRPr="32D4EED7">
                <w:rPr>
                  <w:rFonts w:ascii="Arial" w:eastAsia="Arial" w:hAnsi="Arial" w:cs="Arial"/>
                  <w:sz w:val="18"/>
                  <w:szCs w:val="18"/>
                </w:rPr>
                <w:t>Privileged Account Management</w:t>
              </w:r>
            </w:hyperlink>
          </w:p>
          <w:p w14:paraId="34EE6DE3" w14:textId="64B49AF4" w:rsidR="32D4EED7" w:rsidRDefault="32D4EED7" w:rsidP="32D4EED7">
            <w:pPr>
              <w:rPr>
                <w:rFonts w:ascii="Arial" w:eastAsia="Arial" w:hAnsi="Arial" w:cs="Arial"/>
                <w:sz w:val="18"/>
                <w:szCs w:val="18"/>
              </w:rPr>
            </w:pPr>
          </w:p>
        </w:tc>
        <w:tc>
          <w:tcPr>
            <w:tcW w:w="6255" w:type="dxa"/>
          </w:tcPr>
          <w:p w14:paraId="60A99A73" w14:textId="0E652C97" w:rsidR="76EA21B5" w:rsidRDefault="29032A8B" w:rsidP="67CA9103">
            <w:r w:rsidRPr="67CA9103">
              <w:rPr>
                <w:rFonts w:ascii="Arial" w:eastAsia="Arial" w:hAnsi="Arial" w:cs="Arial"/>
                <w:color w:val="000000" w:themeColor="text1"/>
                <w:sz w:val="18"/>
                <w:szCs w:val="18"/>
              </w:rPr>
              <w:t xml:space="preserve">Do not allow subscription-level administrator accounts to be used for day-to-day operations that may expose them to potential adversaries on unprivileged systems. This can be done by first limiting the access that these accounts have outside of the administrative rights, but then also </w:t>
            </w:r>
            <w:r w:rsidRPr="67CA9103">
              <w:rPr>
                <w:rFonts w:ascii="Arial" w:eastAsia="Arial" w:hAnsi="Arial" w:cs="Arial"/>
                <w:color w:val="000000" w:themeColor="text1"/>
                <w:sz w:val="18"/>
                <w:szCs w:val="18"/>
              </w:rPr>
              <w:lastRenderedPageBreak/>
              <w:t>monitoring (details in detection) for events that might show a compromised account.</w:t>
            </w:r>
          </w:p>
        </w:tc>
      </w:tr>
      <w:tr w:rsidR="67CA9103" w14:paraId="542C8037" w14:textId="77777777" w:rsidTr="67CA9103">
        <w:tc>
          <w:tcPr>
            <w:tcW w:w="1425" w:type="dxa"/>
          </w:tcPr>
          <w:p w14:paraId="354B3566" w14:textId="3558AEA9" w:rsidR="67CA9103" w:rsidRDefault="67CA9103" w:rsidP="67CA9103">
            <w:pPr>
              <w:rPr>
                <w:rFonts w:ascii="Arial" w:eastAsia="Arial" w:hAnsi="Arial" w:cs="Arial"/>
                <w:sz w:val="18"/>
                <w:szCs w:val="18"/>
              </w:rPr>
            </w:pPr>
          </w:p>
        </w:tc>
        <w:tc>
          <w:tcPr>
            <w:tcW w:w="1680" w:type="dxa"/>
          </w:tcPr>
          <w:p w14:paraId="732DF045" w14:textId="229E51E8" w:rsidR="29032A8B" w:rsidRDefault="29032A8B" w:rsidP="67CA9103">
            <w:pPr>
              <w:rPr>
                <w:rFonts w:ascii="Arial" w:eastAsia="Arial" w:hAnsi="Arial" w:cs="Arial"/>
                <w:sz w:val="18"/>
                <w:szCs w:val="18"/>
              </w:rPr>
            </w:pPr>
            <w:r w:rsidRPr="67CA9103">
              <w:rPr>
                <w:rFonts w:ascii="Arial" w:eastAsia="Arial" w:hAnsi="Arial" w:cs="Arial"/>
                <w:sz w:val="18"/>
                <w:szCs w:val="18"/>
              </w:rPr>
              <w:t>AWS</w:t>
            </w:r>
          </w:p>
        </w:tc>
        <w:tc>
          <w:tcPr>
            <w:tcW w:w="6255" w:type="dxa"/>
          </w:tcPr>
          <w:p w14:paraId="36BF480B" w14:textId="765EA070" w:rsidR="29032A8B" w:rsidRDefault="29032A8B" w:rsidP="67CA9103">
            <w:pPr>
              <w:rPr>
                <w:rFonts w:ascii="Arial" w:eastAsia="Arial" w:hAnsi="Arial" w:cs="Arial"/>
                <w:color w:val="000000" w:themeColor="text1"/>
                <w:sz w:val="18"/>
                <w:szCs w:val="18"/>
              </w:rPr>
            </w:pPr>
            <w:r w:rsidRPr="67CA9103">
              <w:rPr>
                <w:rFonts w:ascii="Arial" w:eastAsia="Arial" w:hAnsi="Arial" w:cs="Arial"/>
                <w:color w:val="000000" w:themeColor="text1"/>
                <w:sz w:val="18"/>
                <w:szCs w:val="18"/>
              </w:rPr>
              <w:t xml:space="preserve">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 </w:t>
            </w:r>
            <w:hyperlink r:id="rId14">
              <w:r w:rsidRPr="67CA9103">
                <w:rPr>
                  <w:rStyle w:val="Hyperlink"/>
                  <w:rFonts w:ascii="Arial" w:eastAsia="Arial" w:hAnsi="Arial" w:cs="Arial"/>
                  <w:b/>
                  <w:bCs/>
                  <w:color w:val="000000" w:themeColor="text1"/>
                  <w:sz w:val="18"/>
                  <w:szCs w:val="18"/>
                  <w:u w:val="none"/>
                </w:rPr>
                <w:t>https://aws.amazon.com/blogs/security/how-to-create-a-limited-iam-administrator-by-using-managed-policies/</w:t>
              </w:r>
            </w:hyperlink>
            <w:r w:rsidRPr="67CA9103">
              <w:rPr>
                <w:rFonts w:ascii="Arial" w:eastAsia="Arial" w:hAnsi="Arial" w:cs="Arial"/>
                <w:b/>
                <w:bCs/>
                <w:color w:val="000000" w:themeColor="text1"/>
                <w:sz w:val="18"/>
                <w:szCs w:val="18"/>
              </w:rPr>
              <w:t>.</w:t>
            </w:r>
          </w:p>
        </w:tc>
      </w:tr>
      <w:tr w:rsidR="67CA9103" w14:paraId="2A75EABC" w14:textId="77777777" w:rsidTr="67CA9103">
        <w:tc>
          <w:tcPr>
            <w:tcW w:w="1425" w:type="dxa"/>
          </w:tcPr>
          <w:p w14:paraId="153050C8" w14:textId="448D46F8" w:rsidR="67CA9103" w:rsidRDefault="67CA9103" w:rsidP="67CA9103">
            <w:pPr>
              <w:rPr>
                <w:rFonts w:ascii="Arial" w:eastAsia="Arial" w:hAnsi="Arial" w:cs="Arial"/>
                <w:sz w:val="18"/>
                <w:szCs w:val="18"/>
              </w:rPr>
            </w:pPr>
          </w:p>
        </w:tc>
        <w:tc>
          <w:tcPr>
            <w:tcW w:w="1680" w:type="dxa"/>
          </w:tcPr>
          <w:p w14:paraId="4A1297FC" w14:textId="4D91007C" w:rsidR="29032A8B" w:rsidRDefault="29032A8B" w:rsidP="67CA9103">
            <w:pPr>
              <w:rPr>
                <w:rFonts w:ascii="Arial" w:eastAsia="Arial" w:hAnsi="Arial" w:cs="Arial"/>
                <w:sz w:val="18"/>
                <w:szCs w:val="18"/>
              </w:rPr>
            </w:pPr>
            <w:r w:rsidRPr="67CA9103">
              <w:rPr>
                <w:rFonts w:ascii="Arial" w:eastAsia="Arial" w:hAnsi="Arial" w:cs="Arial"/>
                <w:sz w:val="18"/>
                <w:szCs w:val="18"/>
              </w:rPr>
              <w:t>Azure</w:t>
            </w:r>
          </w:p>
        </w:tc>
        <w:tc>
          <w:tcPr>
            <w:tcW w:w="6255" w:type="dxa"/>
          </w:tcPr>
          <w:p w14:paraId="550E4B18" w14:textId="63933914" w:rsidR="29032A8B" w:rsidRDefault="29032A8B" w:rsidP="67CA9103">
            <w:pPr>
              <w:rPr>
                <w:rFonts w:ascii="Arial" w:eastAsia="Arial" w:hAnsi="Arial" w:cs="Arial"/>
                <w:color w:val="000000" w:themeColor="text1"/>
                <w:sz w:val="18"/>
                <w:szCs w:val="18"/>
              </w:rPr>
            </w:pPr>
            <w:r w:rsidRPr="67CA9103">
              <w:rPr>
                <w:rFonts w:ascii="Arial" w:eastAsia="Arial" w:hAnsi="Arial" w:cs="Arial"/>
                <w:color w:val="000000" w:themeColor="text1"/>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5">
              <w:r w:rsidRPr="67CA9103">
                <w:rPr>
                  <w:rStyle w:val="Hyperlink"/>
                  <w:rFonts w:ascii="Arial" w:eastAsia="Arial" w:hAnsi="Arial" w:cs="Arial"/>
                  <w:b/>
                  <w:bCs/>
                  <w:color w:val="000000" w:themeColor="text1"/>
                  <w:sz w:val="18"/>
                  <w:szCs w:val="18"/>
                  <w:u w:val="none"/>
                </w:rPr>
                <w:t>https://docs.microsoft.com/en-us/azure/active-directory/users-groups-roles/directory-assign-admin-roles</w:t>
              </w:r>
            </w:hyperlink>
            <w:r w:rsidRPr="67CA9103">
              <w:rPr>
                <w:rFonts w:ascii="Arial" w:eastAsia="Arial" w:hAnsi="Arial" w:cs="Arial"/>
                <w:b/>
                <w:bCs/>
                <w:color w:val="000000" w:themeColor="text1"/>
                <w:sz w:val="18"/>
                <w:szCs w:val="18"/>
              </w:rPr>
              <w:t>.</w:t>
            </w:r>
          </w:p>
        </w:tc>
      </w:tr>
      <w:tr w:rsidR="67CA9103" w14:paraId="59576915" w14:textId="77777777" w:rsidTr="67CA9103">
        <w:tc>
          <w:tcPr>
            <w:tcW w:w="1425" w:type="dxa"/>
          </w:tcPr>
          <w:p w14:paraId="4423E7F0" w14:textId="6D4598E0" w:rsidR="67CA9103" w:rsidRDefault="67CA9103" w:rsidP="67CA9103">
            <w:pPr>
              <w:rPr>
                <w:rFonts w:ascii="Arial" w:eastAsia="Arial" w:hAnsi="Arial" w:cs="Arial"/>
                <w:sz w:val="18"/>
                <w:szCs w:val="18"/>
              </w:rPr>
            </w:pPr>
          </w:p>
        </w:tc>
        <w:tc>
          <w:tcPr>
            <w:tcW w:w="1680" w:type="dxa"/>
          </w:tcPr>
          <w:p w14:paraId="2B45A39D" w14:textId="0F114B49" w:rsidR="29032A8B" w:rsidRDefault="29032A8B" w:rsidP="67CA9103">
            <w:pPr>
              <w:rPr>
                <w:rFonts w:ascii="Arial" w:eastAsia="Arial" w:hAnsi="Arial" w:cs="Arial"/>
                <w:sz w:val="18"/>
                <w:szCs w:val="18"/>
              </w:rPr>
            </w:pPr>
            <w:r w:rsidRPr="67CA9103">
              <w:rPr>
                <w:rFonts w:ascii="Arial" w:eastAsia="Arial" w:hAnsi="Arial" w:cs="Arial"/>
                <w:sz w:val="18"/>
                <w:szCs w:val="18"/>
              </w:rPr>
              <w:t>GCP</w:t>
            </w:r>
          </w:p>
        </w:tc>
        <w:tc>
          <w:tcPr>
            <w:tcW w:w="6255" w:type="dxa"/>
          </w:tcPr>
          <w:p w14:paraId="0EF9A044" w14:textId="6C34FB5C" w:rsidR="29032A8B" w:rsidRDefault="29032A8B" w:rsidP="67CA9103">
            <w:pPr>
              <w:rPr>
                <w:rFonts w:ascii="Arial" w:eastAsia="Arial" w:hAnsi="Arial" w:cs="Arial"/>
                <w:color w:val="0000E9"/>
                <w:sz w:val="18"/>
                <w:szCs w:val="18"/>
                <w:u w:val="single"/>
              </w:rPr>
            </w:pPr>
            <w:r w:rsidRPr="67CA9103">
              <w:rPr>
                <w:rFonts w:ascii="Arial" w:eastAsia="Arial" w:hAnsi="Arial" w:cs="Arial"/>
                <w:color w:val="000000" w:themeColor="text1"/>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settings, or modified depending on specific use cases. These can limit access to basic functionality needed. This is outlined at: </w:t>
            </w:r>
            <w:hyperlink r:id="rId16">
              <w:r w:rsidRPr="67CA9103">
                <w:rPr>
                  <w:rStyle w:val="Hyperlink"/>
                  <w:rFonts w:ascii="Arial" w:eastAsia="Arial" w:hAnsi="Arial" w:cs="Arial"/>
                  <w:b/>
                  <w:bCs/>
                  <w:color w:val="auto"/>
                  <w:sz w:val="18"/>
                  <w:szCs w:val="18"/>
                  <w:u w:val="none"/>
                </w:rPr>
                <w:t>https://support.google.com/a/answer/2405986?hl=en</w:t>
              </w:r>
            </w:hyperlink>
            <w:r w:rsidRPr="67CA9103">
              <w:rPr>
                <w:rFonts w:ascii="Arial" w:eastAsia="Arial" w:hAnsi="Arial" w:cs="Arial"/>
                <w:b/>
                <w:bCs/>
                <w:sz w:val="18"/>
                <w:szCs w:val="18"/>
              </w:rPr>
              <w:t>.</w:t>
            </w:r>
          </w:p>
        </w:tc>
      </w:tr>
    </w:tbl>
    <w:p w14:paraId="2F63DB74" w14:textId="08D63691" w:rsidR="32D4EED7" w:rsidRDefault="32D4EED7" w:rsidP="32D4EED7">
      <w:pPr>
        <w:shd w:val="clear" w:color="auto" w:fill="FFFFFF" w:themeFill="background1"/>
        <w:spacing w:afterAutospacing="1"/>
        <w:outlineLvl w:val="1"/>
        <w:rPr>
          <w:rFonts w:ascii="Arial" w:eastAsia="Arial" w:hAnsi="Arial" w:cs="Arial"/>
          <w:color w:val="39434C"/>
          <w:sz w:val="36"/>
          <w:szCs w:val="36"/>
        </w:rPr>
      </w:pPr>
    </w:p>
    <w:p w14:paraId="5871420A" w14:textId="5BBE34A8" w:rsidR="0CCC9D26" w:rsidRDefault="0CCC9D26" w:rsidP="7B841645">
      <w:pPr>
        <w:spacing w:afterAutospacing="1"/>
        <w:rPr>
          <w:rFonts w:ascii="Arial" w:eastAsia="Arial" w:hAnsi="Arial" w:cs="Arial"/>
          <w:sz w:val="32"/>
          <w:szCs w:val="32"/>
        </w:rPr>
      </w:pPr>
      <w:bookmarkStart w:id="0" w:name="scite-1"/>
      <w:r w:rsidRPr="7B841645">
        <w:rPr>
          <w:rFonts w:ascii="Arial" w:eastAsia="Arial" w:hAnsi="Arial" w:cs="Arial"/>
          <w:sz w:val="32"/>
          <w:szCs w:val="32"/>
        </w:rPr>
        <w:t>Detection</w:t>
      </w:r>
    </w:p>
    <w:tbl>
      <w:tblPr>
        <w:tblStyle w:val="TableGrid"/>
        <w:tblW w:w="9360" w:type="dxa"/>
        <w:tblLayout w:type="fixed"/>
        <w:tblLook w:val="04A0" w:firstRow="1" w:lastRow="0" w:firstColumn="1" w:lastColumn="0" w:noHBand="0" w:noVBand="1"/>
      </w:tblPr>
      <w:tblGrid>
        <w:gridCol w:w="1320"/>
        <w:gridCol w:w="1545"/>
        <w:gridCol w:w="6495"/>
      </w:tblGrid>
      <w:tr w:rsidR="7B841645" w14:paraId="2595684D" w14:textId="77777777" w:rsidTr="778404BB">
        <w:tc>
          <w:tcPr>
            <w:tcW w:w="2865" w:type="dxa"/>
            <w:gridSpan w:val="2"/>
          </w:tcPr>
          <w:p w14:paraId="1CCEBEF6" w14:textId="11B81873" w:rsidR="7B841645" w:rsidRDefault="7B841645" w:rsidP="7B841645">
            <w:pPr>
              <w:rPr>
                <w:rFonts w:ascii="Arial" w:eastAsia="Arial" w:hAnsi="Arial" w:cs="Arial"/>
              </w:rPr>
            </w:pPr>
            <w:r w:rsidRPr="7B841645">
              <w:rPr>
                <w:rFonts w:ascii="Arial" w:eastAsia="Arial" w:hAnsi="Arial" w:cs="Arial"/>
                <w:b/>
                <w:bCs/>
              </w:rPr>
              <w:t>Mitigation</w:t>
            </w:r>
          </w:p>
        </w:tc>
        <w:tc>
          <w:tcPr>
            <w:tcW w:w="6495" w:type="dxa"/>
          </w:tcPr>
          <w:p w14:paraId="1A8F889E" w14:textId="6FC9D665" w:rsidR="7B841645" w:rsidRDefault="7B841645" w:rsidP="7B841645">
            <w:pPr>
              <w:rPr>
                <w:rFonts w:ascii="Arial" w:eastAsia="Arial" w:hAnsi="Arial" w:cs="Arial"/>
              </w:rPr>
            </w:pPr>
            <w:r w:rsidRPr="7B841645">
              <w:rPr>
                <w:rFonts w:ascii="Arial" w:eastAsia="Arial" w:hAnsi="Arial" w:cs="Arial"/>
                <w:b/>
                <w:bCs/>
              </w:rPr>
              <w:t>Description</w:t>
            </w:r>
            <w:r w:rsidRPr="7B841645">
              <w:rPr>
                <w:rFonts w:ascii="Arial" w:eastAsia="Arial" w:hAnsi="Arial" w:cs="Arial"/>
              </w:rPr>
              <w:t> </w:t>
            </w:r>
          </w:p>
        </w:tc>
      </w:tr>
      <w:tr w:rsidR="7B841645" w14:paraId="6D129F26" w14:textId="77777777" w:rsidTr="778404BB">
        <w:tc>
          <w:tcPr>
            <w:tcW w:w="2865" w:type="dxa"/>
            <w:gridSpan w:val="2"/>
          </w:tcPr>
          <w:p w14:paraId="399C2A44" w14:textId="2AFFA4FA" w:rsidR="7B841645" w:rsidRDefault="7B841645" w:rsidP="7B841645">
            <w:pPr>
              <w:rPr>
                <w:rFonts w:ascii="Arial" w:eastAsia="Arial" w:hAnsi="Arial" w:cs="Arial"/>
                <w:sz w:val="18"/>
                <w:szCs w:val="18"/>
              </w:rPr>
            </w:pPr>
            <w:r w:rsidRPr="7B841645">
              <w:rPr>
                <w:rFonts w:ascii="Arial" w:eastAsia="Arial" w:hAnsi="Arial" w:cs="Arial"/>
                <w:sz w:val="18"/>
                <w:szCs w:val="18"/>
              </w:rPr>
              <w:t>Monitoring</w:t>
            </w:r>
          </w:p>
        </w:tc>
        <w:tc>
          <w:tcPr>
            <w:tcW w:w="6495" w:type="dxa"/>
          </w:tcPr>
          <w:p w14:paraId="18321B6D" w14:textId="5944DA2F" w:rsidR="64DFBF3D" w:rsidRDefault="6E0A2CAA" w:rsidP="7B841645">
            <w:pPr>
              <w:spacing w:beforeAutospacing="1" w:afterAutospacing="1"/>
              <w:rPr>
                <w:rFonts w:ascii="Arial" w:eastAsia="Arial" w:hAnsi="Arial" w:cs="Arial"/>
                <w:sz w:val="18"/>
                <w:szCs w:val="18"/>
              </w:rPr>
            </w:pPr>
            <w:r w:rsidRPr="778404BB">
              <w:rPr>
                <w:rFonts w:ascii="Arial" w:eastAsia="Arial" w:hAnsi="Arial" w:cs="Arial"/>
                <w:sz w:val="18"/>
                <w:szCs w:val="18"/>
              </w:rPr>
              <w:t>Collect events that correlate with changes to account objects on systems and the domain. Monitor for modification of accounts in correlation with other suspicious activity. Changes may occur at unusual times or from unusual systems. Especially flag events where the subject and target accounts differ or that include additional flags such as changing a password without knowledge of the old password. Use of credentials may also occur at unusual times or to unusual systems or services and may correlate with other suspicious activity</w:t>
            </w:r>
          </w:p>
        </w:tc>
      </w:tr>
      <w:tr w:rsidR="7B841645" w14:paraId="5120F633" w14:textId="77777777" w:rsidTr="778404BB">
        <w:tc>
          <w:tcPr>
            <w:tcW w:w="1320" w:type="dxa"/>
          </w:tcPr>
          <w:p w14:paraId="4F11CB19" w14:textId="5AA74E83" w:rsidR="7B841645" w:rsidRDefault="7B841645" w:rsidP="7B841645">
            <w:pPr>
              <w:rPr>
                <w:rFonts w:ascii="Arial" w:eastAsia="Arial" w:hAnsi="Arial" w:cs="Arial"/>
                <w:sz w:val="18"/>
                <w:szCs w:val="18"/>
              </w:rPr>
            </w:pPr>
          </w:p>
        </w:tc>
        <w:tc>
          <w:tcPr>
            <w:tcW w:w="1545" w:type="dxa"/>
          </w:tcPr>
          <w:p w14:paraId="3631FF92" w14:textId="799691AA" w:rsidR="7B841645" w:rsidRDefault="7B841645" w:rsidP="7B841645">
            <w:pPr>
              <w:rPr>
                <w:rFonts w:ascii="Arial" w:eastAsia="Arial" w:hAnsi="Arial" w:cs="Arial"/>
                <w:sz w:val="18"/>
                <w:szCs w:val="18"/>
              </w:rPr>
            </w:pPr>
            <w:r w:rsidRPr="7B841645">
              <w:rPr>
                <w:rFonts w:ascii="Arial" w:eastAsia="Arial" w:hAnsi="Arial" w:cs="Arial"/>
                <w:sz w:val="18"/>
                <w:szCs w:val="18"/>
              </w:rPr>
              <w:t>AWS</w:t>
            </w:r>
          </w:p>
        </w:tc>
        <w:tc>
          <w:tcPr>
            <w:tcW w:w="6495" w:type="dxa"/>
          </w:tcPr>
          <w:p w14:paraId="2EAA5A98" w14:textId="34B84655" w:rsidR="7B841645" w:rsidRDefault="7B841645" w:rsidP="7B841645">
            <w:pPr>
              <w:rPr>
                <w:rFonts w:ascii="Arial" w:eastAsia="Arial" w:hAnsi="Arial" w:cs="Arial"/>
                <w:sz w:val="18"/>
                <w:szCs w:val="18"/>
              </w:rPr>
            </w:pPr>
            <w:r w:rsidRPr="7B841645">
              <w:rPr>
                <w:rFonts w:ascii="Arial" w:eastAsia="Arial" w:hAnsi="Arial" w:cs="Arial"/>
                <w:sz w:val="18"/>
                <w:szCs w:val="18"/>
              </w:rPr>
              <w:t>Various services in AWS offer logging features that allow for detection capabilities. These include CloudFront, CloudTrail, CloudWatch, Config, and S3.</w:t>
            </w:r>
          </w:p>
          <w:p w14:paraId="70D9FEEA" w14:textId="02CDEE4C" w:rsidR="7B841645" w:rsidRDefault="7B841645" w:rsidP="7B841645">
            <w:pPr>
              <w:rPr>
                <w:rFonts w:ascii="Arial" w:eastAsia="Arial" w:hAnsi="Arial" w:cs="Arial"/>
                <w:sz w:val="18"/>
                <w:szCs w:val="18"/>
              </w:rPr>
            </w:pPr>
            <w:r w:rsidRPr="7B841645">
              <w:rPr>
                <w:rFonts w:ascii="Arial" w:eastAsia="Arial" w:hAnsi="Arial" w:cs="Arial"/>
                <w:sz w:val="18"/>
                <w:szCs w:val="18"/>
              </w:rPr>
              <w:t>To create a metric filter and alarm:</w:t>
            </w:r>
          </w:p>
          <w:p w14:paraId="1C84C6A4" w14:textId="54236330" w:rsidR="7B841645" w:rsidRDefault="7B841645" w:rsidP="7B841645">
            <w:pPr>
              <w:pStyle w:val="ListParagraph"/>
              <w:numPr>
                <w:ilvl w:val="0"/>
                <w:numId w:val="3"/>
              </w:numPr>
              <w:spacing w:after="160"/>
              <w:rPr>
                <w:rFonts w:eastAsiaTheme="minorEastAsia"/>
                <w:sz w:val="18"/>
                <w:szCs w:val="18"/>
              </w:rPr>
            </w:pPr>
            <w:r w:rsidRPr="7B841645">
              <w:rPr>
                <w:rFonts w:ascii="Arial" w:eastAsia="Arial" w:hAnsi="Arial" w:cs="Arial"/>
                <w:sz w:val="18"/>
                <w:szCs w:val="18"/>
              </w:rPr>
              <w:t xml:space="preserve">Create a metric filter that checks for IAM policy changes and the </w:t>
            </w:r>
            <w:r w:rsidRPr="7B841645">
              <w:rPr>
                <w:rFonts w:ascii="Arial" w:eastAsia="Arial" w:hAnsi="Arial" w:cs="Arial"/>
                <w:i/>
                <w:iCs/>
                <w:sz w:val="18"/>
                <w:szCs w:val="18"/>
              </w:rPr>
              <w:t>&lt;</w:t>
            </w:r>
            <w:proofErr w:type="spellStart"/>
            <w:r w:rsidRPr="7B841645">
              <w:rPr>
                <w:rFonts w:ascii="Arial" w:eastAsia="Arial" w:hAnsi="Arial" w:cs="Arial"/>
                <w:i/>
                <w:iCs/>
                <w:sz w:val="18"/>
                <w:szCs w:val="18"/>
              </w:rPr>
              <w:t>cloudtrail_log_group_name</w:t>
            </w:r>
            <w:proofErr w:type="spellEnd"/>
            <w:r w:rsidRPr="7B841645">
              <w:rPr>
                <w:rFonts w:ascii="Arial" w:eastAsia="Arial" w:hAnsi="Arial" w:cs="Arial"/>
                <w:i/>
                <w:iCs/>
                <w:sz w:val="18"/>
                <w:szCs w:val="18"/>
              </w:rPr>
              <w:t>&gt;</w:t>
            </w:r>
          </w:p>
          <w:p w14:paraId="63F76BFD" w14:textId="707C719A" w:rsidR="7B841645" w:rsidRDefault="7B841645" w:rsidP="7B841645">
            <w:pPr>
              <w:pStyle w:val="ListParagraph"/>
              <w:numPr>
                <w:ilvl w:val="0"/>
                <w:numId w:val="3"/>
              </w:numPr>
              <w:spacing w:after="160"/>
              <w:rPr>
                <w:rFonts w:eastAsiaTheme="minorEastAsia"/>
                <w:sz w:val="18"/>
                <w:szCs w:val="18"/>
              </w:rPr>
            </w:pPr>
            <w:r w:rsidRPr="7B841645">
              <w:rPr>
                <w:rFonts w:ascii="Arial" w:eastAsia="Arial" w:hAnsi="Arial" w:cs="Arial"/>
                <w:sz w:val="18"/>
                <w:szCs w:val="18"/>
              </w:rPr>
              <w:t>Create an SNS topic</w:t>
            </w:r>
          </w:p>
          <w:p w14:paraId="0176163F" w14:textId="1A7206F3" w:rsidR="7B841645" w:rsidRDefault="7B841645" w:rsidP="7B841645">
            <w:pPr>
              <w:pStyle w:val="ListParagraph"/>
              <w:numPr>
                <w:ilvl w:val="0"/>
                <w:numId w:val="3"/>
              </w:numPr>
              <w:spacing w:after="160"/>
              <w:rPr>
                <w:rFonts w:eastAsiaTheme="minorEastAsia"/>
                <w:sz w:val="18"/>
                <w:szCs w:val="18"/>
              </w:rPr>
            </w:pPr>
            <w:r w:rsidRPr="7B841645">
              <w:rPr>
                <w:rFonts w:ascii="Arial" w:eastAsia="Arial" w:hAnsi="Arial" w:cs="Arial"/>
                <w:sz w:val="18"/>
                <w:szCs w:val="18"/>
              </w:rPr>
              <w:t>Create an SNS subscription to the above topic</w:t>
            </w:r>
          </w:p>
          <w:p w14:paraId="65F59206" w14:textId="063C1958" w:rsidR="7B841645" w:rsidRDefault="7B841645" w:rsidP="7B841645">
            <w:pPr>
              <w:pStyle w:val="ListParagraph"/>
              <w:numPr>
                <w:ilvl w:val="0"/>
                <w:numId w:val="3"/>
              </w:numPr>
              <w:spacing w:after="160"/>
              <w:rPr>
                <w:rFonts w:eastAsiaTheme="minorEastAsia"/>
                <w:sz w:val="18"/>
                <w:szCs w:val="18"/>
              </w:rPr>
            </w:pPr>
            <w:r w:rsidRPr="7B841645">
              <w:rPr>
                <w:rFonts w:ascii="Arial" w:eastAsia="Arial" w:hAnsi="Arial" w:cs="Arial"/>
                <w:sz w:val="18"/>
                <w:szCs w:val="18"/>
              </w:rPr>
              <w:lastRenderedPageBreak/>
              <w:t>Create an alarm associated with the filter and SNS topic created in steps 1 and 2 respectively</w:t>
            </w:r>
          </w:p>
        </w:tc>
      </w:tr>
      <w:tr w:rsidR="7B841645" w14:paraId="328BD61E" w14:textId="77777777" w:rsidTr="778404BB">
        <w:tc>
          <w:tcPr>
            <w:tcW w:w="1320" w:type="dxa"/>
          </w:tcPr>
          <w:p w14:paraId="0DDF0DFF" w14:textId="495C0AFF" w:rsidR="7B841645" w:rsidRDefault="7B841645" w:rsidP="7B841645">
            <w:pPr>
              <w:rPr>
                <w:rFonts w:ascii="Arial" w:eastAsia="Arial" w:hAnsi="Arial" w:cs="Arial"/>
                <w:sz w:val="18"/>
                <w:szCs w:val="18"/>
              </w:rPr>
            </w:pPr>
          </w:p>
        </w:tc>
        <w:tc>
          <w:tcPr>
            <w:tcW w:w="1545" w:type="dxa"/>
          </w:tcPr>
          <w:p w14:paraId="4459FD92" w14:textId="596BA86E" w:rsidR="7B841645" w:rsidRDefault="7B841645" w:rsidP="7B841645">
            <w:pPr>
              <w:rPr>
                <w:rFonts w:ascii="Arial" w:eastAsia="Arial" w:hAnsi="Arial" w:cs="Arial"/>
                <w:sz w:val="18"/>
                <w:szCs w:val="18"/>
              </w:rPr>
            </w:pPr>
            <w:r w:rsidRPr="7B841645">
              <w:rPr>
                <w:rFonts w:ascii="Arial" w:eastAsia="Arial" w:hAnsi="Arial" w:cs="Arial"/>
                <w:sz w:val="18"/>
                <w:szCs w:val="18"/>
              </w:rPr>
              <w:t>Azure</w:t>
            </w:r>
          </w:p>
        </w:tc>
        <w:tc>
          <w:tcPr>
            <w:tcW w:w="6495" w:type="dxa"/>
          </w:tcPr>
          <w:p w14:paraId="780480E7" w14:textId="4A526519" w:rsidR="7B841645" w:rsidRDefault="7B841645" w:rsidP="7B841645">
            <w:pPr>
              <w:rPr>
                <w:rFonts w:ascii="Arial" w:eastAsia="Arial" w:hAnsi="Arial" w:cs="Arial"/>
                <w:sz w:val="18"/>
                <w:szCs w:val="18"/>
              </w:rPr>
            </w:pPr>
            <w:r w:rsidRPr="7B841645">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p w14:paraId="07F75A4A" w14:textId="618A0F4A" w:rsidR="7B841645" w:rsidRDefault="7B841645" w:rsidP="7B841645">
            <w:pPr>
              <w:rPr>
                <w:rFonts w:ascii="Arial" w:eastAsia="Arial" w:hAnsi="Arial" w:cs="Arial"/>
                <w:sz w:val="18"/>
                <w:szCs w:val="18"/>
              </w:rPr>
            </w:pPr>
            <w:r w:rsidRPr="7B841645">
              <w:rPr>
                <w:rFonts w:ascii="Arial" w:eastAsia="Arial" w:hAnsi="Arial" w:cs="Arial"/>
                <w:sz w:val="18"/>
                <w:szCs w:val="18"/>
              </w:rPr>
              <w:t>To create a log alert in the Azure portal:</w:t>
            </w:r>
          </w:p>
          <w:p w14:paraId="0F8A464D" w14:textId="7B9F105E"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Select </w:t>
            </w:r>
            <w:r w:rsidRPr="7B841645">
              <w:rPr>
                <w:rFonts w:ascii="Arial" w:eastAsia="Arial" w:hAnsi="Arial" w:cs="Arial"/>
                <w:b/>
                <w:bCs/>
                <w:sz w:val="18"/>
                <w:szCs w:val="18"/>
              </w:rPr>
              <w:t>Monitor -&gt; Alerts</w:t>
            </w:r>
          </w:p>
          <w:p w14:paraId="0D085C4C" w14:textId="0EF557F0"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Select </w:t>
            </w:r>
            <w:r w:rsidRPr="7B841645">
              <w:rPr>
                <w:rFonts w:ascii="Arial" w:eastAsia="Arial" w:hAnsi="Arial" w:cs="Arial"/>
                <w:b/>
                <w:bCs/>
                <w:sz w:val="18"/>
                <w:szCs w:val="18"/>
              </w:rPr>
              <w:t>New alert rule</w:t>
            </w:r>
            <w:r w:rsidRPr="7B841645">
              <w:rPr>
                <w:rFonts w:ascii="Arial" w:eastAsia="Arial" w:hAnsi="Arial" w:cs="Arial"/>
                <w:sz w:val="18"/>
                <w:szCs w:val="18"/>
              </w:rPr>
              <w:t xml:space="preserve"> of the </w:t>
            </w:r>
            <w:r w:rsidRPr="7B841645">
              <w:rPr>
                <w:rFonts w:ascii="Arial" w:eastAsia="Arial" w:hAnsi="Arial" w:cs="Arial"/>
                <w:b/>
                <w:bCs/>
                <w:sz w:val="18"/>
                <w:szCs w:val="18"/>
              </w:rPr>
              <w:t>Alerts</w:t>
            </w:r>
            <w:r w:rsidRPr="7B841645">
              <w:rPr>
                <w:rFonts w:ascii="Arial" w:eastAsia="Arial" w:hAnsi="Arial" w:cs="Arial"/>
                <w:sz w:val="18"/>
                <w:szCs w:val="18"/>
              </w:rPr>
              <w:t xml:space="preserve"> window</w:t>
            </w:r>
          </w:p>
          <w:p w14:paraId="6B51D8A4" w14:textId="6628920E"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Provide information in </w:t>
            </w:r>
            <w:r w:rsidRPr="7B841645">
              <w:rPr>
                <w:rFonts w:ascii="Arial" w:eastAsia="Arial" w:hAnsi="Arial" w:cs="Arial"/>
                <w:b/>
                <w:bCs/>
                <w:sz w:val="18"/>
                <w:szCs w:val="18"/>
              </w:rPr>
              <w:t>Define alert condition</w:t>
            </w:r>
          </w:p>
          <w:p w14:paraId="457F0E71" w14:textId="16123EE0"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Provide details in </w:t>
            </w:r>
            <w:r w:rsidRPr="7B841645">
              <w:rPr>
                <w:rFonts w:ascii="Arial" w:eastAsia="Arial" w:hAnsi="Arial" w:cs="Arial"/>
                <w:b/>
                <w:bCs/>
                <w:sz w:val="18"/>
                <w:szCs w:val="18"/>
              </w:rPr>
              <w:t>Define alert details</w:t>
            </w:r>
          </w:p>
          <w:p w14:paraId="4C1FC26A" w14:textId="6A46F8B3"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Specify action group for new alert rule under </w:t>
            </w:r>
            <w:r w:rsidRPr="7B841645">
              <w:rPr>
                <w:rFonts w:ascii="Arial" w:eastAsia="Arial" w:hAnsi="Arial" w:cs="Arial"/>
                <w:b/>
                <w:bCs/>
                <w:sz w:val="18"/>
                <w:szCs w:val="18"/>
              </w:rPr>
              <w:t>Action group</w:t>
            </w:r>
            <w:r w:rsidRPr="7B841645">
              <w:rPr>
                <w:rFonts w:ascii="Arial" w:eastAsia="Arial" w:hAnsi="Arial" w:cs="Arial"/>
                <w:sz w:val="18"/>
                <w:szCs w:val="18"/>
              </w:rPr>
              <w:t xml:space="preserve">, or create a new action group with + </w:t>
            </w:r>
            <w:r w:rsidRPr="7B841645">
              <w:rPr>
                <w:rFonts w:ascii="Arial" w:eastAsia="Arial" w:hAnsi="Arial" w:cs="Arial"/>
                <w:b/>
                <w:bCs/>
                <w:sz w:val="18"/>
                <w:szCs w:val="18"/>
              </w:rPr>
              <w:t>New group</w:t>
            </w:r>
          </w:p>
          <w:p w14:paraId="28560AFD" w14:textId="238A3082" w:rsidR="7B841645" w:rsidRDefault="7B841645" w:rsidP="7B841645">
            <w:pPr>
              <w:pStyle w:val="ListParagraph"/>
              <w:numPr>
                <w:ilvl w:val="0"/>
                <w:numId w:val="2"/>
              </w:numPr>
              <w:spacing w:after="160"/>
              <w:rPr>
                <w:rFonts w:eastAsiaTheme="minorEastAsia"/>
                <w:sz w:val="18"/>
                <w:szCs w:val="18"/>
              </w:rPr>
            </w:pPr>
            <w:r w:rsidRPr="7B841645">
              <w:rPr>
                <w:rFonts w:ascii="Arial" w:eastAsia="Arial" w:hAnsi="Arial" w:cs="Arial"/>
                <w:sz w:val="18"/>
                <w:szCs w:val="18"/>
              </w:rPr>
              <w:t xml:space="preserve">Select </w:t>
            </w:r>
            <w:r w:rsidRPr="7B841645">
              <w:rPr>
                <w:rFonts w:ascii="Arial" w:eastAsia="Arial" w:hAnsi="Arial" w:cs="Arial"/>
                <w:b/>
                <w:bCs/>
                <w:sz w:val="18"/>
                <w:szCs w:val="18"/>
              </w:rPr>
              <w:t>Yes</w:t>
            </w:r>
            <w:r w:rsidRPr="7B841645">
              <w:rPr>
                <w:rFonts w:ascii="Arial" w:eastAsia="Arial" w:hAnsi="Arial" w:cs="Arial"/>
                <w:sz w:val="18"/>
                <w:szCs w:val="18"/>
              </w:rPr>
              <w:t xml:space="preserve"> for the </w:t>
            </w:r>
            <w:r w:rsidRPr="7B841645">
              <w:rPr>
                <w:rFonts w:ascii="Arial" w:eastAsia="Arial" w:hAnsi="Arial" w:cs="Arial"/>
                <w:b/>
                <w:bCs/>
                <w:sz w:val="18"/>
                <w:szCs w:val="18"/>
              </w:rPr>
              <w:t>Enable rule upon creation</w:t>
            </w:r>
            <w:r w:rsidRPr="7B841645">
              <w:rPr>
                <w:rFonts w:ascii="Arial" w:eastAsia="Arial" w:hAnsi="Arial" w:cs="Arial"/>
                <w:sz w:val="18"/>
                <w:szCs w:val="18"/>
              </w:rPr>
              <w:t xml:space="preserve"> option</w:t>
            </w:r>
          </w:p>
          <w:p w14:paraId="0CE158F7" w14:textId="38DFF04D" w:rsidR="7B841645" w:rsidRDefault="7B841645" w:rsidP="23591B74">
            <w:pPr>
              <w:pStyle w:val="ListParagraph"/>
              <w:numPr>
                <w:ilvl w:val="0"/>
                <w:numId w:val="2"/>
              </w:numPr>
              <w:spacing w:after="160"/>
              <w:rPr>
                <w:rFonts w:eastAsiaTheme="minorEastAsia"/>
                <w:sz w:val="18"/>
                <w:szCs w:val="18"/>
              </w:rPr>
            </w:pPr>
            <w:r w:rsidRPr="23591B74">
              <w:rPr>
                <w:rFonts w:ascii="Arial" w:eastAsia="Arial" w:hAnsi="Arial" w:cs="Arial"/>
                <w:sz w:val="18"/>
                <w:szCs w:val="18"/>
              </w:rPr>
              <w:t xml:space="preserve">Select </w:t>
            </w:r>
            <w:r w:rsidRPr="23591B74">
              <w:rPr>
                <w:rFonts w:ascii="Arial" w:eastAsia="Arial" w:hAnsi="Arial" w:cs="Arial"/>
                <w:b/>
                <w:bCs/>
                <w:sz w:val="18"/>
                <w:szCs w:val="18"/>
              </w:rPr>
              <w:t>Create alert rule</w:t>
            </w:r>
          </w:p>
          <w:p w14:paraId="6678C522" w14:textId="52A3C92A" w:rsidR="7B841645" w:rsidRDefault="7B841645" w:rsidP="7B841645">
            <w:pPr>
              <w:rPr>
                <w:rFonts w:ascii="Arial" w:eastAsia="Arial" w:hAnsi="Arial" w:cs="Arial"/>
                <w:sz w:val="18"/>
                <w:szCs w:val="18"/>
              </w:rPr>
            </w:pPr>
            <w:r w:rsidRPr="7B841645">
              <w:rPr>
                <w:rFonts w:ascii="Arial" w:eastAsia="Arial" w:hAnsi="Arial" w:cs="Arial"/>
                <w:sz w:val="18"/>
                <w:szCs w:val="18"/>
              </w:rPr>
              <w:t>To view and manage alerts:</w:t>
            </w:r>
          </w:p>
          <w:p w14:paraId="4134ADF8" w14:textId="4CFC7800" w:rsidR="7B841645" w:rsidRDefault="7B841645" w:rsidP="7B841645">
            <w:pPr>
              <w:pStyle w:val="ListParagraph"/>
              <w:numPr>
                <w:ilvl w:val="0"/>
                <w:numId w:val="1"/>
              </w:numPr>
              <w:spacing w:after="160"/>
              <w:rPr>
                <w:rFonts w:eastAsiaTheme="minorEastAsia"/>
                <w:sz w:val="18"/>
                <w:szCs w:val="18"/>
              </w:rPr>
            </w:pPr>
            <w:r w:rsidRPr="7B841645">
              <w:rPr>
                <w:rFonts w:ascii="Arial" w:eastAsia="Arial" w:hAnsi="Arial" w:cs="Arial"/>
                <w:sz w:val="18"/>
                <w:szCs w:val="18"/>
              </w:rPr>
              <w:t xml:space="preserve">Select </w:t>
            </w:r>
            <w:r w:rsidRPr="7B841645">
              <w:rPr>
                <w:rFonts w:ascii="Arial" w:eastAsia="Arial" w:hAnsi="Arial" w:cs="Arial"/>
                <w:b/>
                <w:bCs/>
                <w:sz w:val="18"/>
                <w:szCs w:val="18"/>
              </w:rPr>
              <w:t>Monitor -&gt; Alerts -&gt; Manage alert rules</w:t>
            </w:r>
          </w:p>
          <w:p w14:paraId="075DDCEA" w14:textId="46ABAA48" w:rsidR="7B841645" w:rsidRDefault="7B841645" w:rsidP="7B841645">
            <w:pPr>
              <w:pStyle w:val="ListParagraph"/>
              <w:numPr>
                <w:ilvl w:val="0"/>
                <w:numId w:val="1"/>
              </w:numPr>
              <w:spacing w:after="160"/>
              <w:rPr>
                <w:rFonts w:eastAsiaTheme="minorEastAsia"/>
                <w:sz w:val="18"/>
                <w:szCs w:val="18"/>
              </w:rPr>
            </w:pPr>
            <w:r w:rsidRPr="7B841645">
              <w:rPr>
                <w:rFonts w:ascii="Arial" w:eastAsia="Arial" w:hAnsi="Arial" w:cs="Arial"/>
                <w:sz w:val="18"/>
                <w:szCs w:val="18"/>
              </w:rPr>
              <w:t>Select the rule you want to modify and double-click to edit the rule options</w:t>
            </w:r>
          </w:p>
          <w:p w14:paraId="35111B1E" w14:textId="3BF50DCD" w:rsidR="7B841645" w:rsidRDefault="7B841645" w:rsidP="7B841645">
            <w:pPr>
              <w:pStyle w:val="ListParagraph"/>
              <w:numPr>
                <w:ilvl w:val="0"/>
                <w:numId w:val="1"/>
              </w:numPr>
              <w:spacing w:after="160"/>
              <w:rPr>
                <w:rFonts w:eastAsiaTheme="minorEastAsia"/>
                <w:sz w:val="18"/>
                <w:szCs w:val="18"/>
              </w:rPr>
            </w:pPr>
            <w:r w:rsidRPr="7B841645">
              <w:rPr>
                <w:rFonts w:ascii="Arial" w:eastAsia="Arial" w:hAnsi="Arial" w:cs="Arial"/>
                <w:sz w:val="18"/>
                <w:szCs w:val="18"/>
              </w:rPr>
              <w:t xml:space="preserve">Click </w:t>
            </w:r>
            <w:r w:rsidRPr="7B841645">
              <w:rPr>
                <w:rFonts w:ascii="Arial" w:eastAsia="Arial" w:hAnsi="Arial" w:cs="Arial"/>
                <w:b/>
                <w:bCs/>
                <w:sz w:val="18"/>
                <w:szCs w:val="18"/>
              </w:rPr>
              <w:t>Save</w:t>
            </w:r>
          </w:p>
        </w:tc>
      </w:tr>
    </w:tbl>
    <w:p w14:paraId="0EB9C390" w14:textId="1650585E" w:rsidR="7B841645" w:rsidRDefault="7B841645" w:rsidP="7B841645"/>
    <w:p w14:paraId="4DBC72C6" w14:textId="1DC93B21" w:rsidR="6F2388B8" w:rsidRDefault="6F2388B8" w:rsidP="32D4EED7">
      <w:pPr>
        <w:shd w:val="clear" w:color="auto" w:fill="FFFFFF" w:themeFill="background1"/>
        <w:spacing w:afterAutospacing="1"/>
        <w:outlineLvl w:val="1"/>
        <w:rPr>
          <w:rFonts w:ascii="Arial" w:eastAsia="Arial" w:hAnsi="Arial" w:cs="Arial"/>
          <w:sz w:val="36"/>
          <w:szCs w:val="36"/>
        </w:rPr>
      </w:pPr>
      <w:r w:rsidRPr="32D4EED7">
        <w:rPr>
          <w:rFonts w:ascii="Arial" w:eastAsia="Arial" w:hAnsi="Arial" w:cs="Arial"/>
          <w:sz w:val="32"/>
          <w:szCs w:val="32"/>
        </w:rPr>
        <w:t>References</w:t>
      </w:r>
    </w:p>
    <w:p w14:paraId="580696D4" w14:textId="1D3D95B9" w:rsidR="3EECF399" w:rsidRDefault="3EECF399" w:rsidP="32D4EED7">
      <w:pPr>
        <w:pStyle w:val="ListParagraph"/>
        <w:numPr>
          <w:ilvl w:val="0"/>
          <w:numId w:val="4"/>
        </w:numPr>
        <w:shd w:val="clear" w:color="auto" w:fill="FFFFFF" w:themeFill="background1"/>
        <w:spacing w:afterAutospacing="1"/>
        <w:outlineLvl w:val="1"/>
        <w:rPr>
          <w:rFonts w:ascii="Arial" w:eastAsia="Arial" w:hAnsi="Arial" w:cs="Arial"/>
          <w:color w:val="000000" w:themeColor="text1"/>
        </w:rPr>
      </w:pPr>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Start w:id="14" w:name="scite-15"/>
      <w:bookmarkStart w:id="15" w:name="scite-16"/>
      <w:bookmarkStart w:id="16" w:name="scite-1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32D4EED7">
        <w:rPr>
          <w:rFonts w:ascii="Arial" w:eastAsia="Arial" w:hAnsi="Arial" w:cs="Arial"/>
        </w:rPr>
        <w:t>https://www.scmagazineuk.com/hackers-manipulate-azure-agent-using-skeleton-key-attack-cloud-infrastructure/article/1681074. Accessed J</w:t>
      </w:r>
      <w:r w:rsidR="40BAFA57" w:rsidRPr="32D4EED7">
        <w:rPr>
          <w:rFonts w:ascii="Arial" w:eastAsia="Arial" w:hAnsi="Arial" w:cs="Arial"/>
        </w:rPr>
        <w:t>une 15, 2020</w:t>
      </w:r>
    </w:p>
    <w:p w14:paraId="0895E8B6" w14:textId="77777777" w:rsidR="00000000" w:rsidRDefault="00000000" w:rsidP="32D4EED7">
      <w:pPr>
        <w:rPr>
          <w:rFonts w:ascii="Arial" w:eastAsia="Arial" w:hAnsi="Arial" w:cs="Arial"/>
        </w:rPr>
      </w:pPr>
    </w:p>
    <w:sectPr w:rsidR="00D21A56" w:rsidSect="000202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938C" w14:textId="77777777" w:rsidR="00603563" w:rsidRDefault="00603563" w:rsidP="001D230E">
      <w:r>
        <w:separator/>
      </w:r>
    </w:p>
  </w:endnote>
  <w:endnote w:type="continuationSeparator" w:id="0">
    <w:p w14:paraId="74954EC8" w14:textId="77777777" w:rsidR="00603563" w:rsidRDefault="00603563" w:rsidP="001D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D0AE" w14:textId="77777777" w:rsidR="001D230E" w:rsidRDefault="001D2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9030" w14:textId="77777777" w:rsidR="00E5055F" w:rsidRPr="00E5055F" w:rsidRDefault="00E5055F" w:rsidP="00E5055F">
    <w:pPr>
      <w:pStyle w:val="Footer"/>
      <w:rPr>
        <w:rFonts w:ascii="Segoe UI" w:hAnsi="Segoe UI" w:cs="Segoe UI"/>
        <w:color w:val="000000"/>
        <w:sz w:val="27"/>
        <w:szCs w:val="27"/>
        <w:shd w:val="clear" w:color="auto" w:fill="FFFFFF"/>
      </w:rPr>
    </w:pPr>
    <w:r w:rsidRPr="00E5055F">
      <w:rPr>
        <w:rFonts w:ascii="Segoe UI" w:hAnsi="Segoe UI" w:cs="Segoe UI"/>
        <w:color w:val="000000"/>
        <w:sz w:val="27"/>
        <w:szCs w:val="27"/>
        <w:shd w:val="clear" w:color="auto" w:fill="FFFFFF"/>
      </w:rPr>
      <w:t>(© 2022 The MITRE Corporation All Rights Reserved. Draft Content</w:t>
    </w:r>
  </w:p>
  <w:p w14:paraId="2F48345D" w14:textId="4C1349E5" w:rsidR="001D230E" w:rsidRDefault="00E5055F" w:rsidP="00E5055F">
    <w:pPr>
      <w:pStyle w:val="Footer"/>
    </w:pPr>
    <w:r w:rsidRPr="00E5055F">
      <w:rPr>
        <w:rFonts w:ascii="Segoe UI" w:hAnsi="Segoe UI" w:cs="Segoe UI"/>
        <w:color w:val="000000"/>
        <w:sz w:val="27"/>
        <w:szCs w:val="27"/>
        <w:shd w:val="clear" w:color="auto" w:fill="FFFFFF"/>
      </w:rPr>
      <w:t>Submission for Consideration by the CAVEAT Working Group)</w:t>
    </w:r>
  </w:p>
  <w:p w14:paraId="1E611AA9" w14:textId="77777777" w:rsidR="001D230E" w:rsidRDefault="001D2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CCC9" w14:textId="77777777" w:rsidR="001D230E" w:rsidRDefault="001D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C866" w14:textId="77777777" w:rsidR="00603563" w:rsidRDefault="00603563" w:rsidP="001D230E">
      <w:r>
        <w:separator/>
      </w:r>
    </w:p>
  </w:footnote>
  <w:footnote w:type="continuationSeparator" w:id="0">
    <w:p w14:paraId="587F5D6F" w14:textId="77777777" w:rsidR="00603563" w:rsidRDefault="00603563" w:rsidP="001D2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BA61" w14:textId="77777777" w:rsidR="001D230E" w:rsidRDefault="001D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334E" w14:textId="77777777" w:rsidR="001D230E" w:rsidRDefault="001D2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2DE4" w14:textId="77777777" w:rsidR="001D230E" w:rsidRDefault="001D2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9A"/>
    <w:multiLevelType w:val="hybridMultilevel"/>
    <w:tmpl w:val="D562ADC4"/>
    <w:lvl w:ilvl="0" w:tplc="B53C4FF6">
      <w:start w:val="1"/>
      <w:numFmt w:val="decimal"/>
      <w:lvlText w:val="%1."/>
      <w:lvlJc w:val="left"/>
      <w:pPr>
        <w:ind w:left="720" w:hanging="360"/>
      </w:pPr>
    </w:lvl>
    <w:lvl w:ilvl="1" w:tplc="E3745CAC">
      <w:start w:val="1"/>
      <w:numFmt w:val="lowerLetter"/>
      <w:lvlText w:val="%2."/>
      <w:lvlJc w:val="left"/>
      <w:pPr>
        <w:ind w:left="1440" w:hanging="360"/>
      </w:pPr>
    </w:lvl>
    <w:lvl w:ilvl="2" w:tplc="CC9281B8">
      <w:start w:val="1"/>
      <w:numFmt w:val="lowerRoman"/>
      <w:lvlText w:val="%3."/>
      <w:lvlJc w:val="right"/>
      <w:pPr>
        <w:ind w:left="2160" w:hanging="180"/>
      </w:pPr>
    </w:lvl>
    <w:lvl w:ilvl="3" w:tplc="F708B224">
      <w:start w:val="1"/>
      <w:numFmt w:val="decimal"/>
      <w:lvlText w:val="%4."/>
      <w:lvlJc w:val="left"/>
      <w:pPr>
        <w:ind w:left="2880" w:hanging="360"/>
      </w:pPr>
    </w:lvl>
    <w:lvl w:ilvl="4" w:tplc="BCDCB48A">
      <w:start w:val="1"/>
      <w:numFmt w:val="lowerLetter"/>
      <w:lvlText w:val="%5."/>
      <w:lvlJc w:val="left"/>
      <w:pPr>
        <w:ind w:left="3600" w:hanging="360"/>
      </w:pPr>
    </w:lvl>
    <w:lvl w:ilvl="5" w:tplc="83A0230C">
      <w:start w:val="1"/>
      <w:numFmt w:val="lowerRoman"/>
      <w:lvlText w:val="%6."/>
      <w:lvlJc w:val="right"/>
      <w:pPr>
        <w:ind w:left="4320" w:hanging="180"/>
      </w:pPr>
    </w:lvl>
    <w:lvl w:ilvl="6" w:tplc="CF02F958">
      <w:start w:val="1"/>
      <w:numFmt w:val="decimal"/>
      <w:lvlText w:val="%7."/>
      <w:lvlJc w:val="left"/>
      <w:pPr>
        <w:ind w:left="5040" w:hanging="360"/>
      </w:pPr>
    </w:lvl>
    <w:lvl w:ilvl="7" w:tplc="3EB8710E">
      <w:start w:val="1"/>
      <w:numFmt w:val="lowerLetter"/>
      <w:lvlText w:val="%8."/>
      <w:lvlJc w:val="left"/>
      <w:pPr>
        <w:ind w:left="5760" w:hanging="360"/>
      </w:pPr>
    </w:lvl>
    <w:lvl w:ilvl="8" w:tplc="AADC34E0">
      <w:start w:val="1"/>
      <w:numFmt w:val="lowerRoman"/>
      <w:lvlText w:val="%9."/>
      <w:lvlJc w:val="right"/>
      <w:pPr>
        <w:ind w:left="6480" w:hanging="180"/>
      </w:pPr>
    </w:lvl>
  </w:abstractNum>
  <w:abstractNum w:abstractNumId="1" w15:restartNumberingAfterBreak="0">
    <w:nsid w:val="03B44626"/>
    <w:multiLevelType w:val="hybridMultilevel"/>
    <w:tmpl w:val="DACEA3A8"/>
    <w:lvl w:ilvl="0" w:tplc="FBC2EED4">
      <w:start w:val="1"/>
      <w:numFmt w:val="decimal"/>
      <w:lvlText w:val="%1."/>
      <w:lvlJc w:val="left"/>
      <w:pPr>
        <w:ind w:left="720" w:hanging="360"/>
      </w:pPr>
    </w:lvl>
    <w:lvl w:ilvl="1" w:tplc="EF22992A">
      <w:start w:val="1"/>
      <w:numFmt w:val="lowerLetter"/>
      <w:lvlText w:val="%2."/>
      <w:lvlJc w:val="left"/>
      <w:pPr>
        <w:ind w:left="1440" w:hanging="360"/>
      </w:pPr>
    </w:lvl>
    <w:lvl w:ilvl="2" w:tplc="6BF2B9CA">
      <w:start w:val="1"/>
      <w:numFmt w:val="lowerRoman"/>
      <w:lvlText w:val="%3."/>
      <w:lvlJc w:val="right"/>
      <w:pPr>
        <w:ind w:left="2160" w:hanging="180"/>
      </w:pPr>
    </w:lvl>
    <w:lvl w:ilvl="3" w:tplc="2F9CF47E">
      <w:start w:val="1"/>
      <w:numFmt w:val="decimal"/>
      <w:lvlText w:val="%4."/>
      <w:lvlJc w:val="left"/>
      <w:pPr>
        <w:ind w:left="2880" w:hanging="360"/>
      </w:pPr>
    </w:lvl>
    <w:lvl w:ilvl="4" w:tplc="44E6AD50">
      <w:start w:val="1"/>
      <w:numFmt w:val="lowerLetter"/>
      <w:lvlText w:val="%5."/>
      <w:lvlJc w:val="left"/>
      <w:pPr>
        <w:ind w:left="3600" w:hanging="360"/>
      </w:pPr>
    </w:lvl>
    <w:lvl w:ilvl="5" w:tplc="40485F14">
      <w:start w:val="1"/>
      <w:numFmt w:val="lowerRoman"/>
      <w:lvlText w:val="%6."/>
      <w:lvlJc w:val="right"/>
      <w:pPr>
        <w:ind w:left="4320" w:hanging="180"/>
      </w:pPr>
    </w:lvl>
    <w:lvl w:ilvl="6" w:tplc="FFB095A0">
      <w:start w:val="1"/>
      <w:numFmt w:val="decimal"/>
      <w:lvlText w:val="%7."/>
      <w:lvlJc w:val="left"/>
      <w:pPr>
        <w:ind w:left="5040" w:hanging="360"/>
      </w:pPr>
    </w:lvl>
    <w:lvl w:ilvl="7" w:tplc="8E1EBBFC">
      <w:start w:val="1"/>
      <w:numFmt w:val="lowerLetter"/>
      <w:lvlText w:val="%8."/>
      <w:lvlJc w:val="left"/>
      <w:pPr>
        <w:ind w:left="5760" w:hanging="360"/>
      </w:pPr>
    </w:lvl>
    <w:lvl w:ilvl="8" w:tplc="41EC4E64">
      <w:start w:val="1"/>
      <w:numFmt w:val="lowerRoman"/>
      <w:lvlText w:val="%9."/>
      <w:lvlJc w:val="right"/>
      <w:pPr>
        <w:ind w:left="6480" w:hanging="180"/>
      </w:pPr>
    </w:lvl>
  </w:abstractNum>
  <w:abstractNum w:abstractNumId="2" w15:restartNumberingAfterBreak="0">
    <w:nsid w:val="34F26737"/>
    <w:multiLevelType w:val="multilevel"/>
    <w:tmpl w:val="D12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F4AFA"/>
    <w:multiLevelType w:val="hybridMultilevel"/>
    <w:tmpl w:val="35846B68"/>
    <w:lvl w:ilvl="0" w:tplc="E118F896">
      <w:start w:val="1"/>
      <w:numFmt w:val="decimal"/>
      <w:lvlText w:val="%1."/>
      <w:lvlJc w:val="left"/>
      <w:pPr>
        <w:ind w:left="720" w:hanging="360"/>
      </w:pPr>
    </w:lvl>
    <w:lvl w:ilvl="1" w:tplc="4412D85E">
      <w:start w:val="1"/>
      <w:numFmt w:val="lowerLetter"/>
      <w:lvlText w:val="%2."/>
      <w:lvlJc w:val="left"/>
      <w:pPr>
        <w:ind w:left="1440" w:hanging="360"/>
      </w:pPr>
    </w:lvl>
    <w:lvl w:ilvl="2" w:tplc="43DE0BE4">
      <w:start w:val="1"/>
      <w:numFmt w:val="lowerRoman"/>
      <w:lvlText w:val="%3."/>
      <w:lvlJc w:val="right"/>
      <w:pPr>
        <w:ind w:left="2160" w:hanging="180"/>
      </w:pPr>
    </w:lvl>
    <w:lvl w:ilvl="3" w:tplc="637E42B2">
      <w:start w:val="1"/>
      <w:numFmt w:val="decimal"/>
      <w:lvlText w:val="%4."/>
      <w:lvlJc w:val="left"/>
      <w:pPr>
        <w:ind w:left="2880" w:hanging="360"/>
      </w:pPr>
    </w:lvl>
    <w:lvl w:ilvl="4" w:tplc="2AE05C3C">
      <w:start w:val="1"/>
      <w:numFmt w:val="lowerLetter"/>
      <w:lvlText w:val="%5."/>
      <w:lvlJc w:val="left"/>
      <w:pPr>
        <w:ind w:left="3600" w:hanging="360"/>
      </w:pPr>
    </w:lvl>
    <w:lvl w:ilvl="5" w:tplc="CFD6F2FA">
      <w:start w:val="1"/>
      <w:numFmt w:val="lowerRoman"/>
      <w:lvlText w:val="%6."/>
      <w:lvlJc w:val="right"/>
      <w:pPr>
        <w:ind w:left="4320" w:hanging="180"/>
      </w:pPr>
    </w:lvl>
    <w:lvl w:ilvl="6" w:tplc="FCCCE91E">
      <w:start w:val="1"/>
      <w:numFmt w:val="decimal"/>
      <w:lvlText w:val="%7."/>
      <w:lvlJc w:val="left"/>
      <w:pPr>
        <w:ind w:left="5040" w:hanging="360"/>
      </w:pPr>
    </w:lvl>
    <w:lvl w:ilvl="7" w:tplc="B2EC9572">
      <w:start w:val="1"/>
      <w:numFmt w:val="lowerLetter"/>
      <w:lvlText w:val="%8."/>
      <w:lvlJc w:val="left"/>
      <w:pPr>
        <w:ind w:left="5760" w:hanging="360"/>
      </w:pPr>
    </w:lvl>
    <w:lvl w:ilvl="8" w:tplc="AEC40986">
      <w:start w:val="1"/>
      <w:numFmt w:val="lowerRoman"/>
      <w:lvlText w:val="%9."/>
      <w:lvlJc w:val="right"/>
      <w:pPr>
        <w:ind w:left="6480" w:hanging="180"/>
      </w:pPr>
    </w:lvl>
  </w:abstractNum>
  <w:abstractNum w:abstractNumId="4" w15:restartNumberingAfterBreak="0">
    <w:nsid w:val="541D2AAA"/>
    <w:multiLevelType w:val="multilevel"/>
    <w:tmpl w:val="EADC8F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72ECD"/>
    <w:multiLevelType w:val="hybridMultilevel"/>
    <w:tmpl w:val="643A7574"/>
    <w:lvl w:ilvl="0" w:tplc="47FE555A">
      <w:start w:val="1"/>
      <w:numFmt w:val="decimal"/>
      <w:lvlText w:val="%1."/>
      <w:lvlJc w:val="left"/>
      <w:pPr>
        <w:ind w:left="720" w:hanging="360"/>
      </w:pPr>
    </w:lvl>
    <w:lvl w:ilvl="1" w:tplc="C20617C0">
      <w:start w:val="1"/>
      <w:numFmt w:val="lowerLetter"/>
      <w:lvlText w:val="%2."/>
      <w:lvlJc w:val="left"/>
      <w:pPr>
        <w:ind w:left="1440" w:hanging="360"/>
      </w:pPr>
    </w:lvl>
    <w:lvl w:ilvl="2" w:tplc="85BABC20">
      <w:start w:val="1"/>
      <w:numFmt w:val="lowerRoman"/>
      <w:lvlText w:val="%3."/>
      <w:lvlJc w:val="right"/>
      <w:pPr>
        <w:ind w:left="2160" w:hanging="180"/>
      </w:pPr>
    </w:lvl>
    <w:lvl w:ilvl="3" w:tplc="A19EC360">
      <w:start w:val="1"/>
      <w:numFmt w:val="decimal"/>
      <w:lvlText w:val="%4."/>
      <w:lvlJc w:val="left"/>
      <w:pPr>
        <w:ind w:left="2880" w:hanging="360"/>
      </w:pPr>
    </w:lvl>
    <w:lvl w:ilvl="4" w:tplc="AB7E9CB0">
      <w:start w:val="1"/>
      <w:numFmt w:val="lowerLetter"/>
      <w:lvlText w:val="%5."/>
      <w:lvlJc w:val="left"/>
      <w:pPr>
        <w:ind w:left="3600" w:hanging="360"/>
      </w:pPr>
    </w:lvl>
    <w:lvl w:ilvl="5" w:tplc="BA1C331A">
      <w:start w:val="1"/>
      <w:numFmt w:val="lowerRoman"/>
      <w:lvlText w:val="%6."/>
      <w:lvlJc w:val="right"/>
      <w:pPr>
        <w:ind w:left="4320" w:hanging="180"/>
      </w:pPr>
    </w:lvl>
    <w:lvl w:ilvl="6" w:tplc="F9CCB10E">
      <w:start w:val="1"/>
      <w:numFmt w:val="decimal"/>
      <w:lvlText w:val="%7."/>
      <w:lvlJc w:val="left"/>
      <w:pPr>
        <w:ind w:left="5040" w:hanging="360"/>
      </w:pPr>
    </w:lvl>
    <w:lvl w:ilvl="7" w:tplc="0CAA3416">
      <w:start w:val="1"/>
      <w:numFmt w:val="lowerLetter"/>
      <w:lvlText w:val="%8."/>
      <w:lvlJc w:val="left"/>
      <w:pPr>
        <w:ind w:left="5760" w:hanging="360"/>
      </w:pPr>
    </w:lvl>
    <w:lvl w:ilvl="8" w:tplc="908A8B28">
      <w:start w:val="1"/>
      <w:numFmt w:val="lowerRoman"/>
      <w:lvlText w:val="%9."/>
      <w:lvlJc w:val="right"/>
      <w:pPr>
        <w:ind w:left="6480" w:hanging="180"/>
      </w:pPr>
    </w:lvl>
  </w:abstractNum>
  <w:abstractNum w:abstractNumId="6" w15:restartNumberingAfterBreak="0">
    <w:nsid w:val="6F492256"/>
    <w:multiLevelType w:val="hybridMultilevel"/>
    <w:tmpl w:val="E4B8F322"/>
    <w:lvl w:ilvl="0" w:tplc="23EEC5C6">
      <w:start w:val="1"/>
      <w:numFmt w:val="decimal"/>
      <w:lvlText w:val="%1."/>
      <w:lvlJc w:val="left"/>
      <w:pPr>
        <w:ind w:left="720" w:hanging="360"/>
      </w:pPr>
    </w:lvl>
    <w:lvl w:ilvl="1" w:tplc="C72ED5A0">
      <w:start w:val="1"/>
      <w:numFmt w:val="lowerLetter"/>
      <w:lvlText w:val="%2."/>
      <w:lvlJc w:val="left"/>
      <w:pPr>
        <w:ind w:left="1440" w:hanging="360"/>
      </w:pPr>
    </w:lvl>
    <w:lvl w:ilvl="2" w:tplc="E0023AB6">
      <w:start w:val="1"/>
      <w:numFmt w:val="lowerRoman"/>
      <w:lvlText w:val="%3."/>
      <w:lvlJc w:val="right"/>
      <w:pPr>
        <w:ind w:left="2160" w:hanging="180"/>
      </w:pPr>
    </w:lvl>
    <w:lvl w:ilvl="3" w:tplc="E09C6CCA">
      <w:start w:val="1"/>
      <w:numFmt w:val="decimal"/>
      <w:lvlText w:val="%4."/>
      <w:lvlJc w:val="left"/>
      <w:pPr>
        <w:ind w:left="2880" w:hanging="360"/>
      </w:pPr>
    </w:lvl>
    <w:lvl w:ilvl="4" w:tplc="E662D748">
      <w:start w:val="1"/>
      <w:numFmt w:val="lowerLetter"/>
      <w:lvlText w:val="%5."/>
      <w:lvlJc w:val="left"/>
      <w:pPr>
        <w:ind w:left="3600" w:hanging="360"/>
      </w:pPr>
    </w:lvl>
    <w:lvl w:ilvl="5" w:tplc="9F6C869E">
      <w:start w:val="1"/>
      <w:numFmt w:val="lowerRoman"/>
      <w:lvlText w:val="%6."/>
      <w:lvlJc w:val="right"/>
      <w:pPr>
        <w:ind w:left="4320" w:hanging="180"/>
      </w:pPr>
    </w:lvl>
    <w:lvl w:ilvl="6" w:tplc="D12057D4">
      <w:start w:val="1"/>
      <w:numFmt w:val="decimal"/>
      <w:lvlText w:val="%7."/>
      <w:lvlJc w:val="left"/>
      <w:pPr>
        <w:ind w:left="5040" w:hanging="360"/>
      </w:pPr>
    </w:lvl>
    <w:lvl w:ilvl="7" w:tplc="D8ACEB8A">
      <w:start w:val="1"/>
      <w:numFmt w:val="lowerLetter"/>
      <w:lvlText w:val="%8."/>
      <w:lvlJc w:val="left"/>
      <w:pPr>
        <w:ind w:left="5760" w:hanging="360"/>
      </w:pPr>
    </w:lvl>
    <w:lvl w:ilvl="8" w:tplc="9462E5C2">
      <w:start w:val="1"/>
      <w:numFmt w:val="lowerRoman"/>
      <w:lvlText w:val="%9."/>
      <w:lvlJc w:val="right"/>
      <w:pPr>
        <w:ind w:left="6480" w:hanging="180"/>
      </w:pPr>
    </w:lvl>
  </w:abstractNum>
  <w:num w:numId="1" w16cid:durableId="918559315">
    <w:abstractNumId w:val="3"/>
  </w:num>
  <w:num w:numId="2" w16cid:durableId="1671565049">
    <w:abstractNumId w:val="5"/>
  </w:num>
  <w:num w:numId="3" w16cid:durableId="544558595">
    <w:abstractNumId w:val="0"/>
  </w:num>
  <w:num w:numId="4" w16cid:durableId="1701779231">
    <w:abstractNumId w:val="6"/>
  </w:num>
  <w:num w:numId="5" w16cid:durableId="239488091">
    <w:abstractNumId w:val="1"/>
  </w:num>
  <w:num w:numId="6" w16cid:durableId="1009408378">
    <w:abstractNumId w:val="2"/>
  </w:num>
  <w:num w:numId="7" w16cid:durableId="1337028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EE"/>
    <w:rsid w:val="00020259"/>
    <w:rsid w:val="001111EE"/>
    <w:rsid w:val="001D230E"/>
    <w:rsid w:val="005A3810"/>
    <w:rsid w:val="00603563"/>
    <w:rsid w:val="00A6505C"/>
    <w:rsid w:val="00D060C1"/>
    <w:rsid w:val="00E22938"/>
    <w:rsid w:val="00E5055F"/>
    <w:rsid w:val="00F99322"/>
    <w:rsid w:val="021E13DA"/>
    <w:rsid w:val="033D1994"/>
    <w:rsid w:val="0570B079"/>
    <w:rsid w:val="09745001"/>
    <w:rsid w:val="0CCC9D26"/>
    <w:rsid w:val="0D4E4F4C"/>
    <w:rsid w:val="0E8D80A9"/>
    <w:rsid w:val="0F8E5D76"/>
    <w:rsid w:val="115C2FE3"/>
    <w:rsid w:val="13D3A02E"/>
    <w:rsid w:val="143487C5"/>
    <w:rsid w:val="14DBA665"/>
    <w:rsid w:val="15675EFE"/>
    <w:rsid w:val="15732C31"/>
    <w:rsid w:val="157D0B81"/>
    <w:rsid w:val="15855C2D"/>
    <w:rsid w:val="17F9DFD2"/>
    <w:rsid w:val="181DA4BB"/>
    <w:rsid w:val="1B822255"/>
    <w:rsid w:val="1B911E7F"/>
    <w:rsid w:val="1C8EE8D2"/>
    <w:rsid w:val="1E3A963A"/>
    <w:rsid w:val="1FBDB95E"/>
    <w:rsid w:val="20703786"/>
    <w:rsid w:val="20BF28C8"/>
    <w:rsid w:val="213F2ECA"/>
    <w:rsid w:val="23591B74"/>
    <w:rsid w:val="23B9423C"/>
    <w:rsid w:val="24C1E47A"/>
    <w:rsid w:val="24E67CE7"/>
    <w:rsid w:val="29032A8B"/>
    <w:rsid w:val="2A317110"/>
    <w:rsid w:val="2AD0C8B8"/>
    <w:rsid w:val="2ADACFC8"/>
    <w:rsid w:val="2BC0425C"/>
    <w:rsid w:val="2CA1EEAA"/>
    <w:rsid w:val="2CAADF4D"/>
    <w:rsid w:val="2CF53FC4"/>
    <w:rsid w:val="30D6F4C2"/>
    <w:rsid w:val="30FC2E30"/>
    <w:rsid w:val="31D510BC"/>
    <w:rsid w:val="32D4EED7"/>
    <w:rsid w:val="3301E310"/>
    <w:rsid w:val="33CDCA5F"/>
    <w:rsid w:val="3566F4EC"/>
    <w:rsid w:val="36CF972E"/>
    <w:rsid w:val="37E1A6A0"/>
    <w:rsid w:val="385A72F5"/>
    <w:rsid w:val="3967E59C"/>
    <w:rsid w:val="3AE21824"/>
    <w:rsid w:val="3AE7C855"/>
    <w:rsid w:val="3BD2B1A8"/>
    <w:rsid w:val="3C75E959"/>
    <w:rsid w:val="3CFA92FC"/>
    <w:rsid w:val="3D1C2EE3"/>
    <w:rsid w:val="3E72ABE3"/>
    <w:rsid w:val="3EECF399"/>
    <w:rsid w:val="40BAFA57"/>
    <w:rsid w:val="41CCFC43"/>
    <w:rsid w:val="42798DCB"/>
    <w:rsid w:val="42AB9CF6"/>
    <w:rsid w:val="44115286"/>
    <w:rsid w:val="44D3F1AA"/>
    <w:rsid w:val="45A77410"/>
    <w:rsid w:val="4D0852A4"/>
    <w:rsid w:val="4DE16243"/>
    <w:rsid w:val="4E0EEBA5"/>
    <w:rsid w:val="4F864A00"/>
    <w:rsid w:val="4FCE86BD"/>
    <w:rsid w:val="5042F33D"/>
    <w:rsid w:val="527DF17A"/>
    <w:rsid w:val="52C3F3B6"/>
    <w:rsid w:val="55AF4DAE"/>
    <w:rsid w:val="56E00B17"/>
    <w:rsid w:val="575ABA59"/>
    <w:rsid w:val="579F7A34"/>
    <w:rsid w:val="59E7704C"/>
    <w:rsid w:val="5B23E550"/>
    <w:rsid w:val="5CF7E5F0"/>
    <w:rsid w:val="5D26A6AC"/>
    <w:rsid w:val="5D4B8D22"/>
    <w:rsid w:val="5D6A776A"/>
    <w:rsid w:val="5DE29C79"/>
    <w:rsid w:val="5E38F1A3"/>
    <w:rsid w:val="5FBAEC36"/>
    <w:rsid w:val="61F2C508"/>
    <w:rsid w:val="62312D05"/>
    <w:rsid w:val="6247353B"/>
    <w:rsid w:val="6247520B"/>
    <w:rsid w:val="6265AEBC"/>
    <w:rsid w:val="626FC780"/>
    <w:rsid w:val="64B8F43B"/>
    <w:rsid w:val="64DFBF3D"/>
    <w:rsid w:val="657727B5"/>
    <w:rsid w:val="676C7122"/>
    <w:rsid w:val="67719CCC"/>
    <w:rsid w:val="67CA9103"/>
    <w:rsid w:val="68513991"/>
    <w:rsid w:val="68DD8A73"/>
    <w:rsid w:val="6A558850"/>
    <w:rsid w:val="6AE4309A"/>
    <w:rsid w:val="6D18050A"/>
    <w:rsid w:val="6E0A2CAA"/>
    <w:rsid w:val="6F2388B8"/>
    <w:rsid w:val="6FF51BD4"/>
    <w:rsid w:val="70F5294C"/>
    <w:rsid w:val="711C0729"/>
    <w:rsid w:val="7229C147"/>
    <w:rsid w:val="728D1C4D"/>
    <w:rsid w:val="73C3A80B"/>
    <w:rsid w:val="754AEE2E"/>
    <w:rsid w:val="7642905C"/>
    <w:rsid w:val="76EA21B5"/>
    <w:rsid w:val="778404BB"/>
    <w:rsid w:val="779BA60D"/>
    <w:rsid w:val="78F7BB1C"/>
    <w:rsid w:val="79EFB9E5"/>
    <w:rsid w:val="7AD21FBC"/>
    <w:rsid w:val="7B841645"/>
    <w:rsid w:val="7BBA6C7D"/>
    <w:rsid w:val="7BF06902"/>
    <w:rsid w:val="7D7938A4"/>
    <w:rsid w:val="7E004840"/>
    <w:rsid w:val="7E37A24D"/>
    <w:rsid w:val="7E748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648F"/>
  <w15:chartTrackingRefBased/>
  <w15:docId w15:val="{30E93F69-A7A7-A448-A6E3-99683694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1E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1E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1E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1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1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11EE"/>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1111EE"/>
  </w:style>
  <w:style w:type="character" w:styleId="Hyperlink">
    <w:name w:val="Hyperlink"/>
    <w:basedOn w:val="DefaultParagraphFont"/>
    <w:uiPriority w:val="99"/>
    <w:semiHidden/>
    <w:unhideWhenUsed/>
    <w:rsid w:val="001111EE"/>
    <w:rPr>
      <w:color w:val="0000FF"/>
      <w:u w:val="single"/>
    </w:rPr>
  </w:style>
  <w:style w:type="character" w:customStyle="1" w:styleId="h5">
    <w:name w:val="h5"/>
    <w:basedOn w:val="DefaultParagraphFont"/>
    <w:rsid w:val="001111EE"/>
  </w:style>
  <w:style w:type="character" w:styleId="HTMLCode">
    <w:name w:val="HTML Code"/>
    <w:basedOn w:val="DefaultParagraphFont"/>
    <w:uiPriority w:val="99"/>
    <w:semiHidden/>
    <w:unhideWhenUsed/>
    <w:rsid w:val="001111EE"/>
    <w:rPr>
      <w:rFonts w:ascii="Courier New" w:eastAsia="Times New Roman" w:hAnsi="Courier New" w:cs="Courier New"/>
      <w:sz w:val="20"/>
      <w:szCs w:val="20"/>
    </w:rPr>
  </w:style>
  <w:style w:type="character" w:customStyle="1" w:styleId="scite-citation-text">
    <w:name w:val="scite-citation-text"/>
    <w:basedOn w:val="DefaultParagraphFont"/>
    <w:rsid w:val="001111E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D230E"/>
    <w:pPr>
      <w:tabs>
        <w:tab w:val="center" w:pos="4680"/>
        <w:tab w:val="right" w:pos="9360"/>
      </w:tabs>
    </w:pPr>
  </w:style>
  <w:style w:type="character" w:customStyle="1" w:styleId="HeaderChar">
    <w:name w:val="Header Char"/>
    <w:basedOn w:val="DefaultParagraphFont"/>
    <w:link w:val="Header"/>
    <w:uiPriority w:val="99"/>
    <w:rsid w:val="001D230E"/>
  </w:style>
  <w:style w:type="paragraph" w:styleId="Footer">
    <w:name w:val="footer"/>
    <w:basedOn w:val="Normal"/>
    <w:link w:val="FooterChar"/>
    <w:uiPriority w:val="99"/>
    <w:unhideWhenUsed/>
    <w:rsid w:val="001D230E"/>
    <w:pPr>
      <w:tabs>
        <w:tab w:val="center" w:pos="4680"/>
        <w:tab w:val="right" w:pos="9360"/>
      </w:tabs>
    </w:pPr>
  </w:style>
  <w:style w:type="character" w:customStyle="1" w:styleId="FooterChar">
    <w:name w:val="Footer Char"/>
    <w:basedOn w:val="DefaultParagraphFont"/>
    <w:link w:val="Footer"/>
    <w:uiPriority w:val="99"/>
    <w:rsid w:val="001D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450">
      <w:bodyDiv w:val="1"/>
      <w:marLeft w:val="0"/>
      <w:marRight w:val="0"/>
      <w:marTop w:val="0"/>
      <w:marBottom w:val="0"/>
      <w:divBdr>
        <w:top w:val="none" w:sz="0" w:space="0" w:color="auto"/>
        <w:left w:val="none" w:sz="0" w:space="0" w:color="auto"/>
        <w:bottom w:val="none" w:sz="0" w:space="0" w:color="auto"/>
        <w:right w:val="none" w:sz="0" w:space="0" w:color="auto"/>
      </w:divBdr>
      <w:divsChild>
        <w:div w:id="395973840">
          <w:marLeft w:val="-225"/>
          <w:marRight w:val="-225"/>
          <w:marTop w:val="0"/>
          <w:marBottom w:val="0"/>
          <w:divBdr>
            <w:top w:val="none" w:sz="0" w:space="0" w:color="auto"/>
            <w:left w:val="none" w:sz="0" w:space="0" w:color="auto"/>
            <w:bottom w:val="none" w:sz="0" w:space="0" w:color="auto"/>
            <w:right w:val="none" w:sz="0" w:space="0" w:color="auto"/>
          </w:divBdr>
          <w:divsChild>
            <w:div w:id="1371347179">
              <w:marLeft w:val="0"/>
              <w:marRight w:val="0"/>
              <w:marTop w:val="0"/>
              <w:marBottom w:val="0"/>
              <w:divBdr>
                <w:top w:val="none" w:sz="0" w:space="0" w:color="auto"/>
                <w:left w:val="none" w:sz="0" w:space="0" w:color="auto"/>
                <w:bottom w:val="none" w:sz="0" w:space="0" w:color="auto"/>
                <w:right w:val="none" w:sz="0" w:space="0" w:color="auto"/>
              </w:divBdr>
            </w:div>
            <w:div w:id="1978949622">
              <w:marLeft w:val="0"/>
              <w:marRight w:val="0"/>
              <w:marTop w:val="0"/>
              <w:marBottom w:val="0"/>
              <w:divBdr>
                <w:top w:val="none" w:sz="0" w:space="0" w:color="auto"/>
                <w:left w:val="none" w:sz="0" w:space="0" w:color="auto"/>
                <w:bottom w:val="none" w:sz="0" w:space="0" w:color="auto"/>
                <w:right w:val="none" w:sz="0" w:space="0" w:color="auto"/>
              </w:divBdr>
              <w:divsChild>
                <w:div w:id="1242181235">
                  <w:marLeft w:val="0"/>
                  <w:marRight w:val="0"/>
                  <w:marTop w:val="0"/>
                  <w:marBottom w:val="0"/>
                  <w:divBdr>
                    <w:top w:val="single" w:sz="6" w:space="0" w:color="DFDFDF"/>
                    <w:left w:val="single" w:sz="6" w:space="0" w:color="DFDFDF"/>
                    <w:bottom w:val="single" w:sz="6" w:space="0" w:color="DFDFDF"/>
                    <w:right w:val="single" w:sz="6" w:space="0" w:color="DFDFDF"/>
                  </w:divBdr>
                  <w:divsChild>
                    <w:div w:id="310912672">
                      <w:marLeft w:val="0"/>
                      <w:marRight w:val="0"/>
                      <w:marTop w:val="0"/>
                      <w:marBottom w:val="0"/>
                      <w:divBdr>
                        <w:top w:val="none" w:sz="0" w:space="0" w:color="auto"/>
                        <w:left w:val="none" w:sz="0" w:space="0" w:color="auto"/>
                        <w:bottom w:val="none" w:sz="0" w:space="0" w:color="auto"/>
                        <w:right w:val="none" w:sz="0" w:space="0" w:color="auto"/>
                      </w:divBdr>
                      <w:divsChild>
                        <w:div w:id="9455015">
                          <w:marLeft w:val="0"/>
                          <w:marRight w:val="0"/>
                          <w:marTop w:val="0"/>
                          <w:marBottom w:val="0"/>
                          <w:divBdr>
                            <w:top w:val="none" w:sz="0" w:space="0" w:color="auto"/>
                            <w:left w:val="none" w:sz="0" w:space="0" w:color="auto"/>
                            <w:bottom w:val="none" w:sz="0" w:space="0" w:color="auto"/>
                            <w:right w:val="none" w:sz="0" w:space="0" w:color="auto"/>
                          </w:divBdr>
                        </w:div>
                        <w:div w:id="623922805">
                          <w:marLeft w:val="0"/>
                          <w:marRight w:val="0"/>
                          <w:marTop w:val="0"/>
                          <w:marBottom w:val="0"/>
                          <w:divBdr>
                            <w:top w:val="none" w:sz="0" w:space="0" w:color="auto"/>
                            <w:left w:val="none" w:sz="0" w:space="0" w:color="auto"/>
                            <w:bottom w:val="none" w:sz="0" w:space="0" w:color="auto"/>
                            <w:right w:val="none" w:sz="0" w:space="0" w:color="auto"/>
                          </w:divBdr>
                        </w:div>
                        <w:div w:id="2114586992">
                          <w:marLeft w:val="0"/>
                          <w:marRight w:val="0"/>
                          <w:marTop w:val="0"/>
                          <w:marBottom w:val="0"/>
                          <w:divBdr>
                            <w:top w:val="none" w:sz="0" w:space="0" w:color="auto"/>
                            <w:left w:val="none" w:sz="0" w:space="0" w:color="auto"/>
                            <w:bottom w:val="none" w:sz="0" w:space="0" w:color="auto"/>
                            <w:right w:val="none" w:sz="0" w:space="0" w:color="auto"/>
                          </w:divBdr>
                        </w:div>
                        <w:div w:id="578368074">
                          <w:marLeft w:val="0"/>
                          <w:marRight w:val="0"/>
                          <w:marTop w:val="0"/>
                          <w:marBottom w:val="0"/>
                          <w:divBdr>
                            <w:top w:val="none" w:sz="0" w:space="0" w:color="auto"/>
                            <w:left w:val="none" w:sz="0" w:space="0" w:color="auto"/>
                            <w:bottom w:val="none" w:sz="0" w:space="0" w:color="auto"/>
                            <w:right w:val="none" w:sz="0" w:space="0" w:color="auto"/>
                          </w:divBdr>
                        </w:div>
                        <w:div w:id="1466388300">
                          <w:marLeft w:val="0"/>
                          <w:marRight w:val="0"/>
                          <w:marTop w:val="0"/>
                          <w:marBottom w:val="0"/>
                          <w:divBdr>
                            <w:top w:val="none" w:sz="0" w:space="0" w:color="auto"/>
                            <w:left w:val="none" w:sz="0" w:space="0" w:color="auto"/>
                            <w:bottom w:val="none" w:sz="0" w:space="0" w:color="auto"/>
                            <w:right w:val="none" w:sz="0" w:space="0" w:color="auto"/>
                          </w:divBdr>
                        </w:div>
                        <w:div w:id="598638218">
                          <w:marLeft w:val="0"/>
                          <w:marRight w:val="0"/>
                          <w:marTop w:val="0"/>
                          <w:marBottom w:val="0"/>
                          <w:divBdr>
                            <w:top w:val="none" w:sz="0" w:space="0" w:color="auto"/>
                            <w:left w:val="none" w:sz="0" w:space="0" w:color="auto"/>
                            <w:bottom w:val="none" w:sz="0" w:space="0" w:color="auto"/>
                            <w:right w:val="none" w:sz="0" w:space="0" w:color="auto"/>
                          </w:divBdr>
                        </w:div>
                        <w:div w:id="456097780">
                          <w:marLeft w:val="0"/>
                          <w:marRight w:val="0"/>
                          <w:marTop w:val="0"/>
                          <w:marBottom w:val="0"/>
                          <w:divBdr>
                            <w:top w:val="none" w:sz="0" w:space="0" w:color="auto"/>
                            <w:left w:val="none" w:sz="0" w:space="0" w:color="auto"/>
                            <w:bottom w:val="none" w:sz="0" w:space="0" w:color="auto"/>
                            <w:right w:val="none" w:sz="0" w:space="0" w:color="auto"/>
                          </w:divBdr>
                        </w:div>
                        <w:div w:id="1396388946">
                          <w:marLeft w:val="0"/>
                          <w:marRight w:val="0"/>
                          <w:marTop w:val="0"/>
                          <w:marBottom w:val="0"/>
                          <w:divBdr>
                            <w:top w:val="none" w:sz="0" w:space="0" w:color="auto"/>
                            <w:left w:val="none" w:sz="0" w:space="0" w:color="auto"/>
                            <w:bottom w:val="none" w:sz="0" w:space="0" w:color="auto"/>
                            <w:right w:val="none" w:sz="0" w:space="0" w:color="auto"/>
                          </w:divBdr>
                        </w:div>
                        <w:div w:id="1333950532">
                          <w:marLeft w:val="0"/>
                          <w:marRight w:val="0"/>
                          <w:marTop w:val="0"/>
                          <w:marBottom w:val="0"/>
                          <w:divBdr>
                            <w:top w:val="none" w:sz="0" w:space="0" w:color="auto"/>
                            <w:left w:val="none" w:sz="0" w:space="0" w:color="auto"/>
                            <w:bottom w:val="none" w:sz="0" w:space="0" w:color="auto"/>
                            <w:right w:val="none" w:sz="0" w:space="0" w:color="auto"/>
                          </w:divBdr>
                        </w:div>
                        <w:div w:id="18986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2649">
          <w:marLeft w:val="-225"/>
          <w:marRight w:val="-225"/>
          <w:marTop w:val="0"/>
          <w:marBottom w:val="0"/>
          <w:divBdr>
            <w:top w:val="none" w:sz="0" w:space="0" w:color="auto"/>
            <w:left w:val="none" w:sz="0" w:space="0" w:color="auto"/>
            <w:bottom w:val="none" w:sz="0" w:space="0" w:color="auto"/>
            <w:right w:val="none" w:sz="0" w:space="0" w:color="auto"/>
          </w:divBdr>
          <w:divsChild>
            <w:div w:id="2091998343">
              <w:marLeft w:val="0"/>
              <w:marRight w:val="0"/>
              <w:marTop w:val="0"/>
              <w:marBottom w:val="0"/>
              <w:divBdr>
                <w:top w:val="none" w:sz="0" w:space="0" w:color="auto"/>
                <w:left w:val="none" w:sz="0" w:space="0" w:color="auto"/>
                <w:bottom w:val="none" w:sz="0" w:space="0" w:color="auto"/>
                <w:right w:val="none" w:sz="0" w:space="0" w:color="auto"/>
              </w:divBdr>
            </w:div>
            <w:div w:id="1998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tack.mitre.org/mitigations/M1026"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attack.mitre.org/mitigations/M102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upport.google.com/a/answer/2405986?hl=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3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ctive-directory/users-groups-roles/directory-assign-admin-roles" TargetMode="External"/><Relationship Id="rId23" Type="http://schemas.openxmlformats.org/officeDocument/2006/relationships/fontTable" Target="fontTable.xml"/><Relationship Id="rId10" Type="http://schemas.openxmlformats.org/officeDocument/2006/relationships/hyperlink" Target="https://attack.mitre.org/mitigations/M1032"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blogs/security/how-to-create-a-limited-iam-administrator-by-using-managed-policie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92EFA5-D906-4EC8-8D11-137DF7213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456CAF-321A-4028-89DB-97A888FE7948}">
  <ds:schemaRefs>
    <ds:schemaRef ds:uri="http://schemas.microsoft.com/sharepoint/v3/contenttype/forms"/>
  </ds:schemaRefs>
</ds:datastoreItem>
</file>

<file path=customXml/itemProps3.xml><?xml version="1.0" encoding="utf-8"?>
<ds:datastoreItem xmlns:ds="http://schemas.openxmlformats.org/officeDocument/2006/customXml" ds:itemID="{CC53FDC6-613F-43A9-9537-E373E9423C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21</cp:revision>
  <dcterms:created xsi:type="dcterms:W3CDTF">2020-02-03T17:20:00Z</dcterms:created>
  <dcterms:modified xsi:type="dcterms:W3CDTF">2023-12-25T17:15:00Z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