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6166" w14:textId="223D913C" w:rsidR="00C74E68" w:rsidRPr="00C74E68" w:rsidRDefault="00C74E68" w:rsidP="519E56D4">
      <w:pPr>
        <w:shd w:val="clear" w:color="auto" w:fill="FFFFFF" w:themeFill="background1"/>
        <w:spacing w:after="100" w:afterAutospacing="1"/>
        <w:outlineLvl w:val="0"/>
        <w:rPr>
          <w:rFonts w:ascii="Arial" w:eastAsia="Arial" w:hAnsi="Arial" w:cs="Arial"/>
          <w:sz w:val="48"/>
          <w:szCs w:val="48"/>
        </w:rPr>
      </w:pPr>
      <w:r w:rsidRPr="519E56D4">
        <w:rPr>
          <w:rFonts w:ascii="Arial" w:eastAsia="Arial" w:hAnsi="Arial" w:cs="Arial"/>
          <w:kern w:val="36"/>
          <w:sz w:val="48"/>
          <w:szCs w:val="48"/>
        </w:rPr>
        <w:t xml:space="preserve">Trusted Relationship </w:t>
      </w:r>
      <w:r w:rsidR="68EA0221" w:rsidRPr="519E56D4">
        <w:rPr>
          <w:rFonts w:ascii="Arial" w:eastAsia="Arial" w:hAnsi="Arial" w:cs="Arial"/>
          <w:color w:val="000000" w:themeColor="text1"/>
          <w:lang w:val="en"/>
        </w:rPr>
        <w:t>(version 1.0)</w:t>
      </w:r>
    </w:p>
    <w:p w14:paraId="6A6B6908" w14:textId="0D7AB8B3" w:rsidR="6601C4F5" w:rsidRDefault="6601C4F5" w:rsidP="519E56D4">
      <w:pPr>
        <w:spacing w:afterAutospacing="1"/>
        <w:rPr>
          <w:rFonts w:ascii="Arial" w:eastAsia="Arial" w:hAnsi="Arial" w:cs="Arial"/>
          <w:b/>
          <w:bCs/>
          <w:sz w:val="28"/>
          <w:szCs w:val="28"/>
        </w:rPr>
      </w:pPr>
    </w:p>
    <w:p w14:paraId="4B2E6D37" w14:textId="055ADF48" w:rsidR="6601C4F5" w:rsidRDefault="61C4969B" w:rsidP="519E56D4">
      <w:pPr>
        <w:spacing w:afterAutospacing="1"/>
        <w:rPr>
          <w:rFonts w:ascii="Arial" w:eastAsia="Arial" w:hAnsi="Arial" w:cs="Arial"/>
          <w:b/>
          <w:bCs/>
          <w:color w:val="404040" w:themeColor="text1" w:themeTint="BF"/>
          <w:sz w:val="28"/>
          <w:szCs w:val="28"/>
        </w:rPr>
      </w:pPr>
      <w:r w:rsidRPr="519E56D4">
        <w:rPr>
          <w:rFonts w:ascii="Arial" w:eastAsia="Arial" w:hAnsi="Arial" w:cs="Arial"/>
          <w:b/>
          <w:bCs/>
          <w:color w:val="404040" w:themeColor="text1" w:themeTint="BF"/>
          <w:sz w:val="28"/>
          <w:szCs w:val="28"/>
        </w:rPr>
        <w:t>Cloud Service Label:  IaaS ,PaaS, SaaS</w:t>
      </w:r>
    </w:p>
    <w:p w14:paraId="78018C15" w14:textId="1EDA40C5" w:rsidR="519E56D4" w:rsidRDefault="519E56D4" w:rsidP="519E56D4">
      <w:pPr>
        <w:shd w:val="clear" w:color="auto" w:fill="FFFFFF" w:themeFill="background1"/>
        <w:spacing w:afterAutospacing="1"/>
        <w:outlineLvl w:val="0"/>
        <w:rPr>
          <w:rFonts w:ascii="Arial" w:eastAsia="Arial" w:hAnsi="Arial" w:cs="Arial"/>
        </w:rPr>
      </w:pPr>
    </w:p>
    <w:p w14:paraId="79B8A5CE" w14:textId="7E148B29" w:rsidR="1C304334" w:rsidRDefault="1C304334" w:rsidP="519E56D4">
      <w:pPr>
        <w:shd w:val="clear" w:color="auto" w:fill="FFFFFF" w:themeFill="background1"/>
        <w:spacing w:afterAutospacing="1"/>
        <w:outlineLvl w:val="0"/>
        <w:rPr>
          <w:rFonts w:ascii="Arial" w:eastAsia="Arial" w:hAnsi="Arial" w:cs="Arial"/>
          <w:sz w:val="32"/>
          <w:szCs w:val="32"/>
        </w:rPr>
      </w:pPr>
      <w:r w:rsidRPr="519E56D4">
        <w:rPr>
          <w:rFonts w:ascii="Arial" w:eastAsia="Arial" w:hAnsi="Arial" w:cs="Arial"/>
          <w:sz w:val="32"/>
          <w:szCs w:val="32"/>
        </w:rPr>
        <w:t>Description</w:t>
      </w:r>
    </w:p>
    <w:p w14:paraId="54B11C22" w14:textId="4718A84B" w:rsidR="6601C4F5" w:rsidRDefault="00C74E68" w:rsidP="519E56D4">
      <w:pPr>
        <w:shd w:val="clear" w:color="auto" w:fill="FFFFFF" w:themeFill="background1"/>
        <w:spacing w:afterAutospacing="1"/>
        <w:outlineLvl w:val="0"/>
        <w:rPr>
          <w:rFonts w:ascii="Arial" w:eastAsia="Arial" w:hAnsi="Arial" w:cs="Arial"/>
        </w:rPr>
      </w:pPr>
      <w:r w:rsidRPr="654E3B48">
        <w:rPr>
          <w:rFonts w:ascii="Arial" w:eastAsia="Arial" w:hAnsi="Arial" w:cs="Arial"/>
        </w:rPr>
        <w:t>Adversaries may breach or otherwise leverage organizations</w:t>
      </w:r>
      <w:r w:rsidR="5E9A241E" w:rsidRPr="654E3B48">
        <w:rPr>
          <w:rFonts w:ascii="Arial" w:eastAsia="Arial" w:hAnsi="Arial" w:cs="Arial"/>
        </w:rPr>
        <w:t xml:space="preserve"> and systems</w:t>
      </w:r>
      <w:r w:rsidRPr="654E3B48">
        <w:rPr>
          <w:rFonts w:ascii="Arial" w:eastAsia="Arial" w:hAnsi="Arial" w:cs="Arial"/>
        </w:rPr>
        <w:t xml:space="preserve"> </w:t>
      </w:r>
      <w:r w:rsidR="13EEE146" w:rsidRPr="654E3B48">
        <w:rPr>
          <w:rFonts w:ascii="Arial" w:eastAsia="Arial" w:hAnsi="Arial" w:cs="Arial"/>
        </w:rPr>
        <w:t>that</w:t>
      </w:r>
      <w:r w:rsidRPr="654E3B48">
        <w:rPr>
          <w:rFonts w:ascii="Arial" w:eastAsia="Arial" w:hAnsi="Arial" w:cs="Arial"/>
        </w:rPr>
        <w:t xml:space="preserve"> have access to </w:t>
      </w:r>
      <w:r w:rsidR="0DE49439" w:rsidRPr="654E3B48">
        <w:rPr>
          <w:rFonts w:ascii="Arial" w:eastAsia="Arial" w:hAnsi="Arial" w:cs="Arial"/>
        </w:rPr>
        <w:t>targeted cloud assets</w:t>
      </w:r>
      <w:r w:rsidRPr="654E3B48">
        <w:rPr>
          <w:rFonts w:ascii="Arial" w:eastAsia="Arial" w:hAnsi="Arial" w:cs="Arial"/>
        </w:rPr>
        <w:t xml:space="preserve">. Access through </w:t>
      </w:r>
      <w:r w:rsidR="6DDF90FE" w:rsidRPr="654E3B48">
        <w:rPr>
          <w:rFonts w:ascii="Arial" w:eastAsia="Arial" w:hAnsi="Arial" w:cs="Arial"/>
        </w:rPr>
        <w:t xml:space="preserve">a </w:t>
      </w:r>
      <w:r w:rsidRPr="654E3B48">
        <w:rPr>
          <w:rFonts w:ascii="Arial" w:eastAsia="Arial" w:hAnsi="Arial" w:cs="Arial"/>
        </w:rPr>
        <w:t>trusted relationship exploits an existing connection that may not be protected or receives less scrutiny than standard mechanisms of gaining access to a network.</w:t>
      </w:r>
      <w:r w:rsidR="473E67B0" w:rsidRPr="654E3B48">
        <w:rPr>
          <w:rFonts w:ascii="Arial" w:eastAsia="Arial" w:hAnsi="Arial" w:cs="Arial"/>
        </w:rPr>
        <w:t xml:space="preserve">  These connections </w:t>
      </w:r>
      <w:r w:rsidR="7D3D17AC" w:rsidRPr="654E3B48">
        <w:rPr>
          <w:rFonts w:ascii="Arial" w:eastAsia="Arial" w:hAnsi="Arial" w:cs="Arial"/>
        </w:rPr>
        <w:t>include</w:t>
      </w:r>
      <w:r w:rsidR="473E67B0" w:rsidRPr="654E3B48">
        <w:rPr>
          <w:rFonts w:ascii="Arial" w:eastAsia="Arial" w:hAnsi="Arial" w:cs="Arial"/>
        </w:rPr>
        <w:t xml:space="preserve"> on-premise </w:t>
      </w:r>
      <w:r w:rsidR="0EAA6942" w:rsidRPr="654E3B48">
        <w:rPr>
          <w:rFonts w:ascii="Arial" w:eastAsia="Arial" w:hAnsi="Arial" w:cs="Arial"/>
        </w:rPr>
        <w:t xml:space="preserve">assets </w:t>
      </w:r>
      <w:r w:rsidR="1BDE1202" w:rsidRPr="654E3B48">
        <w:rPr>
          <w:rFonts w:ascii="Arial" w:eastAsia="Arial" w:hAnsi="Arial" w:cs="Arial"/>
        </w:rPr>
        <w:t xml:space="preserve">and logically separate cloud assets </w:t>
      </w:r>
      <w:r w:rsidR="0EAA6942" w:rsidRPr="654E3B48">
        <w:rPr>
          <w:rFonts w:ascii="Arial" w:eastAsia="Arial" w:hAnsi="Arial" w:cs="Arial"/>
        </w:rPr>
        <w:t xml:space="preserve">that afford special access to </w:t>
      </w:r>
      <w:r w:rsidR="543F063E" w:rsidRPr="654E3B48">
        <w:rPr>
          <w:rFonts w:ascii="Arial" w:eastAsia="Arial" w:hAnsi="Arial" w:cs="Arial"/>
        </w:rPr>
        <w:t xml:space="preserve">a customer’s </w:t>
      </w:r>
      <w:r w:rsidR="0EAA6942" w:rsidRPr="654E3B48">
        <w:rPr>
          <w:rFonts w:ascii="Arial" w:eastAsia="Arial" w:hAnsi="Arial" w:cs="Arial"/>
        </w:rPr>
        <w:t xml:space="preserve">cloud resources. </w:t>
      </w:r>
      <w:r w:rsidR="6601C4F5" w:rsidRPr="654E3B48">
        <w:rPr>
          <w:rFonts w:ascii="Arial" w:eastAsia="Arial" w:hAnsi="Arial" w:cs="Arial"/>
        </w:rPr>
        <w:t xml:space="preserve">Organizations often grant elevated access to </w:t>
      </w:r>
      <w:r w:rsidR="0F75DA7F" w:rsidRPr="654E3B48">
        <w:rPr>
          <w:rFonts w:ascii="Arial" w:eastAsia="Arial" w:hAnsi="Arial" w:cs="Arial"/>
        </w:rPr>
        <w:t xml:space="preserve">on-premise systems and </w:t>
      </w:r>
      <w:r w:rsidR="7388ECE6" w:rsidRPr="654E3B48">
        <w:rPr>
          <w:rFonts w:ascii="Arial" w:eastAsia="Arial" w:hAnsi="Arial" w:cs="Arial"/>
        </w:rPr>
        <w:t>third</w:t>
      </w:r>
      <w:r w:rsidR="6601C4F5" w:rsidRPr="654E3B48">
        <w:rPr>
          <w:rFonts w:ascii="Arial" w:eastAsia="Arial" w:hAnsi="Arial" w:cs="Arial"/>
        </w:rPr>
        <w:t xml:space="preserve"> party external providers including SaaS providers in order to allow them to manage </w:t>
      </w:r>
      <w:r w:rsidR="5CDC40E1" w:rsidRPr="654E3B48">
        <w:rPr>
          <w:rFonts w:ascii="Arial" w:eastAsia="Arial" w:hAnsi="Arial" w:cs="Arial"/>
        </w:rPr>
        <w:t>cloud assets or share information</w:t>
      </w:r>
      <w:r w:rsidR="6601C4F5" w:rsidRPr="654E3B48">
        <w:rPr>
          <w:rFonts w:ascii="Arial" w:eastAsia="Arial" w:hAnsi="Arial" w:cs="Arial"/>
        </w:rPr>
        <w:t xml:space="preserve">. Some examples of these relationships include IT services contractors, managed security providers, </w:t>
      </w:r>
      <w:r w:rsidR="3F53AE74" w:rsidRPr="654E3B48">
        <w:rPr>
          <w:rFonts w:ascii="Arial" w:eastAsia="Arial" w:hAnsi="Arial" w:cs="Arial"/>
        </w:rPr>
        <w:t xml:space="preserve">and </w:t>
      </w:r>
      <w:r w:rsidR="6601C4F5" w:rsidRPr="654E3B48">
        <w:rPr>
          <w:rFonts w:ascii="Arial" w:eastAsia="Arial" w:hAnsi="Arial" w:cs="Arial"/>
        </w:rPr>
        <w:t>infrastructure contractors</w:t>
      </w:r>
      <w:r w:rsidR="6220DA64" w:rsidRPr="654E3B48">
        <w:rPr>
          <w:rFonts w:ascii="Arial" w:eastAsia="Arial" w:hAnsi="Arial" w:cs="Arial"/>
        </w:rPr>
        <w:t>.</w:t>
      </w:r>
      <w:r w:rsidR="6601C4F5" w:rsidRPr="654E3B48">
        <w:rPr>
          <w:rFonts w:ascii="Arial" w:eastAsia="Arial" w:hAnsi="Arial" w:cs="Arial"/>
        </w:rPr>
        <w:t xml:space="preserve"> </w:t>
      </w:r>
      <w:r w:rsidR="2BC09673" w:rsidRPr="654E3B48">
        <w:rPr>
          <w:rFonts w:ascii="Arial" w:eastAsia="Arial" w:hAnsi="Arial" w:cs="Arial"/>
        </w:rPr>
        <w:t>Azure permits the creation of guest accounts to allow external organizations to access certain resources.  These accounts probably will not be automatically culled from the system if the user leaves the guest organization as would likely happen in the host organization. This could result in accesses being permitted for unauthorized persons.</w:t>
      </w:r>
    </w:p>
    <w:p w14:paraId="54181A81" w14:textId="01EF6D14" w:rsidR="6601C4F5" w:rsidRDefault="6601C4F5" w:rsidP="519E56D4">
      <w:pPr>
        <w:shd w:val="clear" w:color="auto" w:fill="FFFFFF" w:themeFill="background1"/>
        <w:spacing w:afterAutospacing="1"/>
        <w:rPr>
          <w:rFonts w:ascii="Arial" w:eastAsia="Arial" w:hAnsi="Arial" w:cs="Arial"/>
        </w:rPr>
      </w:pPr>
    </w:p>
    <w:p w14:paraId="213A0A76" w14:textId="7E72FC9E" w:rsidR="6601C4F5" w:rsidRDefault="33C99416" w:rsidP="519E56D4">
      <w:pPr>
        <w:spacing w:afterAutospacing="1"/>
        <w:rPr>
          <w:rFonts w:ascii="Arial" w:eastAsia="Arial" w:hAnsi="Arial" w:cs="Arial"/>
          <w:sz w:val="32"/>
          <w:szCs w:val="32"/>
        </w:rPr>
      </w:pPr>
      <w:r w:rsidRPr="519E56D4">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3435"/>
        <w:gridCol w:w="5925"/>
      </w:tblGrid>
      <w:tr w:rsidR="519E56D4" w14:paraId="27AAED4F" w14:textId="77777777" w:rsidTr="7CD2C527">
        <w:tc>
          <w:tcPr>
            <w:tcW w:w="3435" w:type="dxa"/>
          </w:tcPr>
          <w:p w14:paraId="439C7E61" w14:textId="270C472C" w:rsidR="519E56D4" w:rsidRDefault="519E56D4" w:rsidP="519E56D4">
            <w:pPr>
              <w:rPr>
                <w:rFonts w:ascii="Arial" w:eastAsia="Arial" w:hAnsi="Arial" w:cs="Arial"/>
              </w:rPr>
            </w:pPr>
            <w:r w:rsidRPr="519E56D4">
              <w:rPr>
                <w:rFonts w:ascii="Arial" w:eastAsia="Arial" w:hAnsi="Arial" w:cs="Arial"/>
                <w:b/>
                <w:bCs/>
              </w:rPr>
              <w:t>Name</w:t>
            </w:r>
            <w:r w:rsidRPr="519E56D4">
              <w:rPr>
                <w:rFonts w:ascii="Arial" w:eastAsia="Arial" w:hAnsi="Arial" w:cs="Arial"/>
              </w:rPr>
              <w:t> </w:t>
            </w:r>
          </w:p>
        </w:tc>
        <w:tc>
          <w:tcPr>
            <w:tcW w:w="5925" w:type="dxa"/>
          </w:tcPr>
          <w:p w14:paraId="3C7AF1A0" w14:textId="63F610A1" w:rsidR="519E56D4" w:rsidRDefault="519E56D4" w:rsidP="519E56D4">
            <w:pPr>
              <w:rPr>
                <w:rFonts w:ascii="Arial" w:eastAsia="Arial" w:hAnsi="Arial" w:cs="Arial"/>
              </w:rPr>
            </w:pPr>
            <w:r w:rsidRPr="519E56D4">
              <w:rPr>
                <w:rFonts w:ascii="Arial" w:eastAsia="Arial" w:hAnsi="Arial" w:cs="Arial"/>
                <w:b/>
                <w:bCs/>
              </w:rPr>
              <w:t>Description</w:t>
            </w:r>
            <w:r w:rsidRPr="519E56D4">
              <w:rPr>
                <w:rFonts w:ascii="Arial" w:eastAsia="Arial" w:hAnsi="Arial" w:cs="Arial"/>
              </w:rPr>
              <w:t> </w:t>
            </w:r>
          </w:p>
        </w:tc>
      </w:tr>
      <w:tr w:rsidR="6DBA7D6E" w14:paraId="6DC9B22F" w14:textId="77777777" w:rsidTr="7CD2C527">
        <w:tc>
          <w:tcPr>
            <w:tcW w:w="3435" w:type="dxa"/>
          </w:tcPr>
          <w:p w14:paraId="3CE557E2" w14:textId="50605776" w:rsidR="72F36CAD" w:rsidRDefault="72F36CAD" w:rsidP="6DBA7D6E">
            <w:pPr>
              <w:rPr>
                <w:rFonts w:ascii="Arial" w:eastAsia="Arial" w:hAnsi="Arial" w:cs="Arial"/>
                <w:sz w:val="18"/>
                <w:szCs w:val="18"/>
              </w:rPr>
            </w:pPr>
            <w:r w:rsidRPr="6DBA7D6E">
              <w:rPr>
                <w:rFonts w:ascii="Arial" w:eastAsia="Arial" w:hAnsi="Arial" w:cs="Arial"/>
                <w:sz w:val="18"/>
                <w:szCs w:val="18"/>
              </w:rPr>
              <w:t>Co-Residence Identification and Information Leakage</w:t>
            </w:r>
          </w:p>
          <w:p w14:paraId="5A035F34" w14:textId="69228A94" w:rsidR="6DBA7D6E" w:rsidRDefault="6DBA7D6E" w:rsidP="6DBA7D6E">
            <w:pPr>
              <w:rPr>
                <w:rFonts w:ascii="Arial" w:eastAsia="Arial" w:hAnsi="Arial" w:cs="Arial"/>
                <w:sz w:val="18"/>
                <w:szCs w:val="18"/>
              </w:rPr>
            </w:pPr>
          </w:p>
        </w:tc>
        <w:tc>
          <w:tcPr>
            <w:tcW w:w="5925" w:type="dxa"/>
          </w:tcPr>
          <w:p w14:paraId="70F0BE6A" w14:textId="01A781DC" w:rsidR="72F36CAD" w:rsidRDefault="72F36CAD" w:rsidP="6DBA7D6E">
            <w:pPr>
              <w:rPr>
                <w:rFonts w:ascii="Arial" w:eastAsia="Arial" w:hAnsi="Arial" w:cs="Arial"/>
                <w:sz w:val="18"/>
                <w:szCs w:val="18"/>
              </w:rPr>
            </w:pPr>
            <w:r w:rsidRPr="7CD2C527">
              <w:rPr>
                <w:rFonts w:ascii="Arial" w:eastAsia="Arial" w:hAnsi="Arial" w:cs="Arial"/>
                <w:sz w:val="18"/>
                <w:szCs w:val="18"/>
              </w:rPr>
              <w:t xml:space="preserve">As pointed out in a research paper written by the University of </w:t>
            </w:r>
            <w:r w:rsidR="7C2535C8" w:rsidRPr="7CD2C527">
              <w:rPr>
                <w:rFonts w:ascii="Arial" w:eastAsia="Arial" w:hAnsi="Arial" w:cs="Arial"/>
                <w:sz w:val="18"/>
                <w:szCs w:val="18"/>
              </w:rPr>
              <w:t>California</w:t>
            </w:r>
            <w:r w:rsidRPr="7CD2C527">
              <w:rPr>
                <w:rFonts w:ascii="Arial" w:eastAsia="Arial" w:hAnsi="Arial" w:cs="Arial"/>
                <w:sz w:val="18"/>
                <w:szCs w:val="18"/>
              </w:rPr>
              <w:t xml:space="preserve"> San Diego and the Massachusetts Institute of Technology, co-residence is the process of identifying cloud instances that share the same underlying physical infrastructure, despite being separated virtually. Cloud users trust the cloud provider to ensure separation</w:t>
            </w:r>
            <w:r w:rsidR="37ECFBD8" w:rsidRPr="7CD2C527">
              <w:rPr>
                <w:rFonts w:ascii="Arial" w:eastAsia="Arial" w:hAnsi="Arial" w:cs="Arial"/>
                <w:sz w:val="18"/>
                <w:szCs w:val="18"/>
              </w:rPr>
              <w:t xml:space="preserve"> between </w:t>
            </w:r>
            <w:r w:rsidR="3D6C1FFC" w:rsidRPr="7CD2C527">
              <w:rPr>
                <w:rFonts w:ascii="Arial" w:eastAsia="Arial" w:hAnsi="Arial" w:cs="Arial"/>
                <w:sz w:val="18"/>
                <w:szCs w:val="18"/>
              </w:rPr>
              <w:t>different</w:t>
            </w:r>
            <w:r w:rsidR="37ECFBD8" w:rsidRPr="7CD2C527">
              <w:rPr>
                <w:rFonts w:ascii="Arial" w:eastAsia="Arial" w:hAnsi="Arial" w:cs="Arial"/>
                <w:sz w:val="18"/>
                <w:szCs w:val="18"/>
              </w:rPr>
              <w:t xml:space="preserve"> customers</w:t>
            </w:r>
            <w:r w:rsidRPr="7CD2C527">
              <w:rPr>
                <w:rFonts w:ascii="Arial" w:eastAsia="Arial" w:hAnsi="Arial" w:cs="Arial"/>
                <w:sz w:val="18"/>
                <w:szCs w:val="18"/>
              </w:rPr>
              <w:t xml:space="preserve">, however </w:t>
            </w:r>
            <w:r w:rsidR="3E5F9A4F" w:rsidRPr="7CD2C527">
              <w:rPr>
                <w:rFonts w:ascii="Arial" w:eastAsia="Arial" w:hAnsi="Arial" w:cs="Arial"/>
                <w:sz w:val="18"/>
                <w:szCs w:val="18"/>
              </w:rPr>
              <w:t>it is possible for a motivated customer to theoretically ensure co-residence with another customer on the same physical cloud host. O</w:t>
            </w:r>
            <w:r w:rsidRPr="7CD2C527">
              <w:rPr>
                <w:rFonts w:ascii="Arial" w:eastAsia="Arial" w:hAnsi="Arial" w:cs="Arial"/>
                <w:sz w:val="18"/>
                <w:szCs w:val="18"/>
              </w:rPr>
              <w:t xml:space="preserve">nce virtual machine co-residence has been </w:t>
            </w:r>
            <w:r w:rsidR="6932EF32" w:rsidRPr="7CD2C527">
              <w:rPr>
                <w:rFonts w:ascii="Arial" w:eastAsia="Arial" w:hAnsi="Arial" w:cs="Arial"/>
                <w:sz w:val="18"/>
                <w:szCs w:val="18"/>
              </w:rPr>
              <w:t>established</w:t>
            </w:r>
            <w:r w:rsidRPr="7CD2C527">
              <w:rPr>
                <w:rFonts w:ascii="Arial" w:eastAsia="Arial" w:hAnsi="Arial" w:cs="Arial"/>
                <w:sz w:val="18"/>
                <w:szCs w:val="18"/>
              </w:rPr>
              <w:t xml:space="preserve">, </w:t>
            </w:r>
            <w:r w:rsidR="6706522C" w:rsidRPr="7CD2C527">
              <w:rPr>
                <w:rFonts w:ascii="Arial" w:eastAsia="Arial" w:hAnsi="Arial" w:cs="Arial"/>
                <w:sz w:val="18"/>
                <w:szCs w:val="18"/>
              </w:rPr>
              <w:t>it might be possible to infer keys or other access credentials from co-resident machines leveraging their shared cache.</w:t>
            </w:r>
          </w:p>
          <w:p w14:paraId="156D4CB1" w14:textId="2827A0F3" w:rsidR="6DBA7D6E" w:rsidRDefault="6DBA7D6E" w:rsidP="6DBA7D6E">
            <w:pPr>
              <w:rPr>
                <w:rFonts w:ascii="Arial" w:eastAsia="Arial" w:hAnsi="Arial" w:cs="Arial"/>
                <w:color w:val="000000" w:themeColor="text1"/>
                <w:sz w:val="18"/>
                <w:szCs w:val="18"/>
              </w:rPr>
            </w:pPr>
          </w:p>
        </w:tc>
      </w:tr>
    </w:tbl>
    <w:p w14:paraId="3C453160" w14:textId="533493ED" w:rsidR="6601C4F5" w:rsidRDefault="6601C4F5" w:rsidP="519E56D4">
      <w:pPr>
        <w:spacing w:afterAutospacing="1"/>
        <w:rPr>
          <w:rFonts w:ascii="Arial" w:eastAsia="Arial" w:hAnsi="Arial" w:cs="Arial"/>
        </w:rPr>
      </w:pPr>
    </w:p>
    <w:p w14:paraId="5887876E" w14:textId="45A2FFAC" w:rsidR="6601C4F5" w:rsidRDefault="33C99416" w:rsidP="519E56D4">
      <w:pPr>
        <w:spacing w:afterAutospacing="1"/>
        <w:rPr>
          <w:rFonts w:ascii="Arial" w:eastAsia="Arial" w:hAnsi="Arial" w:cs="Arial"/>
          <w:sz w:val="32"/>
          <w:szCs w:val="32"/>
        </w:rPr>
      </w:pPr>
      <w:r w:rsidRPr="519E56D4">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560"/>
        <w:gridCol w:w="1875"/>
        <w:gridCol w:w="5925"/>
      </w:tblGrid>
      <w:tr w:rsidR="519E56D4" w14:paraId="1DBA1990" w14:textId="77777777" w:rsidTr="654E3B48">
        <w:tc>
          <w:tcPr>
            <w:tcW w:w="3435" w:type="dxa"/>
            <w:gridSpan w:val="2"/>
          </w:tcPr>
          <w:p w14:paraId="493E0418" w14:textId="1C76E424" w:rsidR="519E56D4" w:rsidRDefault="519E56D4" w:rsidP="519E56D4">
            <w:pPr>
              <w:rPr>
                <w:rFonts w:ascii="Arial" w:eastAsia="Arial" w:hAnsi="Arial" w:cs="Arial"/>
              </w:rPr>
            </w:pPr>
            <w:r w:rsidRPr="519E56D4">
              <w:rPr>
                <w:rFonts w:ascii="Arial" w:eastAsia="Arial" w:hAnsi="Arial" w:cs="Arial"/>
                <w:b/>
                <w:bCs/>
              </w:rPr>
              <w:t>Mitigation</w:t>
            </w:r>
          </w:p>
        </w:tc>
        <w:tc>
          <w:tcPr>
            <w:tcW w:w="5925" w:type="dxa"/>
          </w:tcPr>
          <w:p w14:paraId="35D8F711" w14:textId="7B09317A" w:rsidR="519E56D4" w:rsidRDefault="519E56D4" w:rsidP="519E56D4">
            <w:pPr>
              <w:rPr>
                <w:rFonts w:ascii="Arial" w:eastAsia="Arial" w:hAnsi="Arial" w:cs="Arial"/>
              </w:rPr>
            </w:pPr>
            <w:r w:rsidRPr="519E56D4">
              <w:rPr>
                <w:rFonts w:ascii="Arial" w:eastAsia="Arial" w:hAnsi="Arial" w:cs="Arial"/>
                <w:b/>
                <w:bCs/>
              </w:rPr>
              <w:t>Description</w:t>
            </w:r>
            <w:r w:rsidRPr="519E56D4">
              <w:rPr>
                <w:rFonts w:ascii="Arial" w:eastAsia="Arial" w:hAnsi="Arial" w:cs="Arial"/>
              </w:rPr>
              <w:t> </w:t>
            </w:r>
          </w:p>
        </w:tc>
      </w:tr>
      <w:tr w:rsidR="519E56D4" w14:paraId="37D88690" w14:textId="77777777" w:rsidTr="654E3B48">
        <w:tc>
          <w:tcPr>
            <w:tcW w:w="3435" w:type="dxa"/>
            <w:gridSpan w:val="2"/>
          </w:tcPr>
          <w:p w14:paraId="089470A9" w14:textId="06FA11AA" w:rsidR="29190317" w:rsidRDefault="62CA2554" w:rsidP="519E56D4">
            <w:pPr>
              <w:spacing w:line="259" w:lineRule="auto"/>
              <w:rPr>
                <w:rFonts w:ascii="Arial" w:eastAsia="Arial" w:hAnsi="Arial" w:cs="Arial"/>
                <w:sz w:val="18"/>
                <w:szCs w:val="18"/>
              </w:rPr>
            </w:pPr>
            <w:r w:rsidRPr="654E3B48">
              <w:rPr>
                <w:rFonts w:ascii="Arial" w:eastAsia="Arial" w:hAnsi="Arial" w:cs="Arial"/>
                <w:sz w:val="18"/>
                <w:szCs w:val="18"/>
              </w:rPr>
              <w:lastRenderedPageBreak/>
              <w:t xml:space="preserve">Audit </w:t>
            </w:r>
            <w:r w:rsidR="66C29EA1" w:rsidRPr="654E3B48">
              <w:rPr>
                <w:rFonts w:ascii="Arial" w:eastAsia="Arial" w:hAnsi="Arial" w:cs="Arial"/>
                <w:sz w:val="18"/>
                <w:szCs w:val="18"/>
              </w:rPr>
              <w:t xml:space="preserve">for </w:t>
            </w:r>
            <w:r w:rsidR="269EBA0B" w:rsidRPr="654E3B48">
              <w:rPr>
                <w:rFonts w:ascii="Arial" w:eastAsia="Arial" w:hAnsi="Arial" w:cs="Arial"/>
                <w:sz w:val="18"/>
                <w:szCs w:val="18"/>
              </w:rPr>
              <w:t>unusual</w:t>
            </w:r>
            <w:r w:rsidR="66C29EA1" w:rsidRPr="654E3B48">
              <w:rPr>
                <w:rFonts w:ascii="Arial" w:eastAsia="Arial" w:hAnsi="Arial" w:cs="Arial"/>
                <w:sz w:val="18"/>
                <w:szCs w:val="18"/>
              </w:rPr>
              <w:t xml:space="preserve"> </w:t>
            </w:r>
            <w:r w:rsidR="24F10FB7" w:rsidRPr="654E3B48">
              <w:rPr>
                <w:rFonts w:ascii="Arial" w:eastAsia="Arial" w:hAnsi="Arial" w:cs="Arial"/>
                <w:sz w:val="18"/>
                <w:szCs w:val="18"/>
              </w:rPr>
              <w:t>activities</w:t>
            </w:r>
            <w:r w:rsidR="66C29EA1" w:rsidRPr="654E3B48">
              <w:rPr>
                <w:rFonts w:ascii="Arial" w:eastAsia="Arial" w:hAnsi="Arial" w:cs="Arial"/>
                <w:sz w:val="18"/>
                <w:szCs w:val="18"/>
              </w:rPr>
              <w:t xml:space="preserve"> that might be </w:t>
            </w:r>
            <w:r w:rsidR="2FE6BBDF" w:rsidRPr="654E3B48">
              <w:rPr>
                <w:rFonts w:ascii="Arial" w:eastAsia="Arial" w:hAnsi="Arial" w:cs="Arial"/>
                <w:sz w:val="18"/>
                <w:szCs w:val="18"/>
              </w:rPr>
              <w:t>related to this activity</w:t>
            </w:r>
          </w:p>
        </w:tc>
        <w:tc>
          <w:tcPr>
            <w:tcW w:w="5925" w:type="dxa"/>
          </w:tcPr>
          <w:p w14:paraId="4B9C64EF" w14:textId="2A8362ED" w:rsidR="5699DDDA" w:rsidRDefault="54745750" w:rsidP="58FC5E7D">
            <w:pPr>
              <w:rPr>
                <w:rFonts w:ascii="Arial" w:eastAsia="Arial" w:hAnsi="Arial" w:cs="Arial"/>
                <w:color w:val="000000" w:themeColor="text1"/>
                <w:sz w:val="18"/>
                <w:szCs w:val="18"/>
              </w:rPr>
            </w:pPr>
            <w:r w:rsidRPr="654E3B48">
              <w:rPr>
                <w:rFonts w:ascii="Arial" w:eastAsia="Arial" w:hAnsi="Arial" w:cs="Arial"/>
                <w:color w:val="000000" w:themeColor="text1"/>
                <w:sz w:val="18"/>
                <w:szCs w:val="18"/>
              </w:rPr>
              <w:t xml:space="preserve">Guest accounts </w:t>
            </w:r>
            <w:r w:rsidR="4866CD4C" w:rsidRPr="654E3B48">
              <w:rPr>
                <w:rFonts w:ascii="Arial" w:eastAsia="Arial" w:hAnsi="Arial" w:cs="Arial"/>
                <w:color w:val="000000" w:themeColor="text1"/>
                <w:sz w:val="18"/>
                <w:szCs w:val="18"/>
              </w:rPr>
              <w:t>should</w:t>
            </w:r>
            <w:r w:rsidRPr="654E3B48">
              <w:rPr>
                <w:rFonts w:ascii="Arial" w:eastAsia="Arial" w:hAnsi="Arial" w:cs="Arial"/>
                <w:color w:val="000000" w:themeColor="text1"/>
                <w:sz w:val="18"/>
                <w:szCs w:val="18"/>
              </w:rPr>
              <w:t xml:space="preserve"> be audited more frequently to ensure external relationships are still valid.</w:t>
            </w:r>
          </w:p>
        </w:tc>
      </w:tr>
      <w:tr w:rsidR="58FC5E7D" w14:paraId="07015238" w14:textId="77777777" w:rsidTr="654E3B48">
        <w:tc>
          <w:tcPr>
            <w:tcW w:w="1560" w:type="dxa"/>
          </w:tcPr>
          <w:p w14:paraId="607823D0" w14:textId="0F53DBD1" w:rsidR="58FC5E7D" w:rsidRDefault="58FC5E7D" w:rsidP="58FC5E7D">
            <w:pPr>
              <w:spacing w:line="259" w:lineRule="auto"/>
              <w:rPr>
                <w:rFonts w:ascii="Arial" w:eastAsia="Arial" w:hAnsi="Arial" w:cs="Arial"/>
                <w:sz w:val="18"/>
                <w:szCs w:val="18"/>
              </w:rPr>
            </w:pPr>
          </w:p>
        </w:tc>
        <w:tc>
          <w:tcPr>
            <w:tcW w:w="1875" w:type="dxa"/>
          </w:tcPr>
          <w:p w14:paraId="161C2F38" w14:textId="72030F15" w:rsidR="26562207" w:rsidRDefault="26562207" w:rsidP="58FC5E7D">
            <w:pPr>
              <w:rPr>
                <w:rFonts w:ascii="Arial" w:eastAsia="Arial" w:hAnsi="Arial" w:cs="Arial"/>
                <w:sz w:val="18"/>
                <w:szCs w:val="18"/>
              </w:rPr>
            </w:pPr>
            <w:r w:rsidRPr="58FC5E7D">
              <w:rPr>
                <w:rFonts w:ascii="Arial" w:eastAsia="Arial" w:hAnsi="Arial" w:cs="Arial"/>
                <w:sz w:val="18"/>
                <w:szCs w:val="18"/>
              </w:rPr>
              <w:t>AWS</w:t>
            </w:r>
          </w:p>
        </w:tc>
        <w:tc>
          <w:tcPr>
            <w:tcW w:w="5925" w:type="dxa"/>
          </w:tcPr>
          <w:p w14:paraId="4E689451" w14:textId="33F48CAF" w:rsidR="26562207" w:rsidRDefault="26562207" w:rsidP="58FC5E7D">
            <w:pPr>
              <w:rPr>
                <w:rFonts w:ascii="Arial" w:eastAsia="Arial" w:hAnsi="Arial" w:cs="Arial"/>
                <w:sz w:val="18"/>
                <w:szCs w:val="18"/>
              </w:rPr>
            </w:pPr>
            <w:r w:rsidRPr="58FC5E7D">
              <w:rPr>
                <w:rFonts w:ascii="Arial" w:eastAsia="Arial" w:hAnsi="Arial" w:cs="Arial"/>
                <w:sz w:val="18"/>
                <w:szCs w:val="18"/>
              </w:rPr>
              <w:t xml:space="preserve">To perform an audit via AWS it is suggested to review information such as account details (credentials, users, groups, roles, </w:t>
            </w:r>
            <w:proofErr w:type="spellStart"/>
            <w:r w:rsidRPr="58FC5E7D">
              <w:rPr>
                <w:rFonts w:ascii="Arial" w:eastAsia="Arial" w:hAnsi="Arial" w:cs="Arial"/>
                <w:sz w:val="18"/>
                <w:szCs w:val="18"/>
              </w:rPr>
              <w:t>etc</w:t>
            </w:r>
            <w:proofErr w:type="spellEnd"/>
            <w:r w:rsidRPr="58FC5E7D">
              <w:rPr>
                <w:rFonts w:ascii="Arial" w:eastAsia="Arial" w:hAnsi="Arial" w:cs="Arial"/>
                <w:sz w:val="18"/>
                <w:szCs w:val="18"/>
              </w:rPr>
              <w:t xml:space="preserve">), mobile applications, EC2 configurations, policies, and account activity. How to audit these different factors can be found in detail at: </w:t>
            </w:r>
            <w:r w:rsidRPr="58FC5E7D">
              <w:rPr>
                <w:rFonts w:ascii="Arial" w:eastAsia="Arial" w:hAnsi="Arial" w:cs="Arial"/>
                <w:b/>
                <w:bCs/>
                <w:sz w:val="18"/>
                <w:szCs w:val="18"/>
              </w:rPr>
              <w:t>https://docs.aws.amazon.com/general/latest/gr/aws-security-audit-guide.html.</w:t>
            </w:r>
          </w:p>
        </w:tc>
      </w:tr>
      <w:tr w:rsidR="58FC5E7D" w14:paraId="7932DF86" w14:textId="77777777" w:rsidTr="654E3B48">
        <w:tc>
          <w:tcPr>
            <w:tcW w:w="1560" w:type="dxa"/>
          </w:tcPr>
          <w:p w14:paraId="2FCC81C3" w14:textId="129A9989" w:rsidR="58FC5E7D" w:rsidRDefault="58FC5E7D" w:rsidP="58FC5E7D">
            <w:pPr>
              <w:spacing w:line="259" w:lineRule="auto"/>
              <w:rPr>
                <w:rFonts w:ascii="Arial" w:eastAsia="Arial" w:hAnsi="Arial" w:cs="Arial"/>
                <w:sz w:val="18"/>
                <w:szCs w:val="18"/>
              </w:rPr>
            </w:pPr>
          </w:p>
        </w:tc>
        <w:tc>
          <w:tcPr>
            <w:tcW w:w="1875" w:type="dxa"/>
          </w:tcPr>
          <w:p w14:paraId="261B16F7" w14:textId="3EE71082" w:rsidR="26562207" w:rsidRDefault="26562207" w:rsidP="58FC5E7D">
            <w:pPr>
              <w:rPr>
                <w:rFonts w:ascii="Arial" w:eastAsia="Arial" w:hAnsi="Arial" w:cs="Arial"/>
                <w:sz w:val="18"/>
                <w:szCs w:val="18"/>
              </w:rPr>
            </w:pPr>
            <w:r w:rsidRPr="58FC5E7D">
              <w:rPr>
                <w:rFonts w:ascii="Arial" w:eastAsia="Arial" w:hAnsi="Arial" w:cs="Arial"/>
                <w:sz w:val="18"/>
                <w:szCs w:val="18"/>
              </w:rPr>
              <w:t>Azure</w:t>
            </w:r>
          </w:p>
        </w:tc>
        <w:tc>
          <w:tcPr>
            <w:tcW w:w="5925" w:type="dxa"/>
          </w:tcPr>
          <w:p w14:paraId="2BCB50AD" w14:textId="17337932" w:rsidR="26562207" w:rsidRDefault="26562207" w:rsidP="58FC5E7D">
            <w:pPr>
              <w:rPr>
                <w:rFonts w:ascii="Arial" w:eastAsia="Arial" w:hAnsi="Arial" w:cs="Arial"/>
                <w:sz w:val="18"/>
                <w:szCs w:val="18"/>
              </w:rPr>
            </w:pPr>
            <w:r w:rsidRPr="58FC5E7D">
              <w:rPr>
                <w:rFonts w:ascii="Arial" w:eastAsia="Arial" w:hAnsi="Arial" w:cs="Arial"/>
                <w:color w:val="000000" w:themeColor="text1"/>
                <w:sz w:val="18"/>
                <w:szCs w:val="18"/>
              </w:rPr>
              <w:t>T</w:t>
            </w:r>
            <w:r w:rsidRPr="58FC5E7D">
              <w:rPr>
                <w:rFonts w:ascii="Arial" w:eastAsia="Arial" w:hAnsi="Arial" w:cs="Arial"/>
                <w:sz w:val="18"/>
                <w:szCs w:val="18"/>
              </w:rPr>
              <w:t xml:space="preserve">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58FC5E7D">
              <w:rPr>
                <w:rFonts w:ascii="Arial" w:eastAsia="Arial" w:hAnsi="Arial" w:cs="Arial"/>
                <w:b/>
                <w:bCs/>
                <w:sz w:val="18"/>
                <w:szCs w:val="18"/>
              </w:rPr>
              <w:t>https://docs.microsoft.com/en-us/azure/active-directory/reports-monitoring/concept-audit-logs.</w:t>
            </w:r>
          </w:p>
        </w:tc>
      </w:tr>
      <w:tr w:rsidR="58FC5E7D" w14:paraId="15A32538" w14:textId="77777777" w:rsidTr="654E3B48">
        <w:tc>
          <w:tcPr>
            <w:tcW w:w="1560" w:type="dxa"/>
          </w:tcPr>
          <w:p w14:paraId="6DE59B58" w14:textId="07C82600" w:rsidR="58FC5E7D" w:rsidRDefault="58FC5E7D" w:rsidP="58FC5E7D">
            <w:pPr>
              <w:spacing w:line="259" w:lineRule="auto"/>
              <w:rPr>
                <w:rFonts w:ascii="Arial" w:eastAsia="Arial" w:hAnsi="Arial" w:cs="Arial"/>
                <w:sz w:val="18"/>
                <w:szCs w:val="18"/>
              </w:rPr>
            </w:pPr>
          </w:p>
        </w:tc>
        <w:tc>
          <w:tcPr>
            <w:tcW w:w="1875" w:type="dxa"/>
          </w:tcPr>
          <w:p w14:paraId="03204B93" w14:textId="0EF0937C" w:rsidR="26562207" w:rsidRDefault="26562207" w:rsidP="58FC5E7D">
            <w:pPr>
              <w:rPr>
                <w:rFonts w:ascii="Arial" w:eastAsia="Arial" w:hAnsi="Arial" w:cs="Arial"/>
                <w:sz w:val="18"/>
                <w:szCs w:val="18"/>
              </w:rPr>
            </w:pPr>
            <w:r w:rsidRPr="58FC5E7D">
              <w:rPr>
                <w:rFonts w:ascii="Arial" w:eastAsia="Arial" w:hAnsi="Arial" w:cs="Arial"/>
                <w:sz w:val="18"/>
                <w:szCs w:val="18"/>
              </w:rPr>
              <w:t>GCP</w:t>
            </w:r>
          </w:p>
        </w:tc>
        <w:tc>
          <w:tcPr>
            <w:tcW w:w="5925" w:type="dxa"/>
          </w:tcPr>
          <w:p w14:paraId="0D2DFE32" w14:textId="018C9DF7" w:rsidR="26562207" w:rsidRDefault="26562207" w:rsidP="58FC5E7D">
            <w:pPr>
              <w:rPr>
                <w:rFonts w:ascii="Arial" w:eastAsia="Arial" w:hAnsi="Arial" w:cs="Arial"/>
                <w:sz w:val="18"/>
                <w:szCs w:val="18"/>
              </w:rPr>
            </w:pPr>
            <w:r w:rsidRPr="58FC5E7D">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58FC5E7D">
              <w:rPr>
                <w:rFonts w:ascii="Arial" w:eastAsia="Arial" w:hAnsi="Arial" w:cs="Arial"/>
                <w:sz w:val="18"/>
                <w:szCs w:val="18"/>
              </w:rPr>
              <w:t>gcloud</w:t>
            </w:r>
            <w:proofErr w:type="spellEnd"/>
            <w:r w:rsidRPr="58FC5E7D">
              <w:rPr>
                <w:rFonts w:ascii="Arial" w:eastAsia="Arial" w:hAnsi="Arial" w:cs="Arial"/>
                <w:sz w:val="18"/>
                <w:szCs w:val="18"/>
              </w:rPr>
              <w:t xml:space="preserve">. Full details on how to view these logs, how to export, and for how to configure the retention period can be found here: </w:t>
            </w:r>
            <w:r w:rsidRPr="58FC5E7D">
              <w:rPr>
                <w:rFonts w:ascii="Arial" w:eastAsia="Arial" w:hAnsi="Arial" w:cs="Arial"/>
                <w:b/>
                <w:bCs/>
                <w:sz w:val="18"/>
                <w:szCs w:val="18"/>
              </w:rPr>
              <w:t>https://cloud.google.com/logging/docs/audit.</w:t>
            </w:r>
          </w:p>
        </w:tc>
      </w:tr>
      <w:tr w:rsidR="519E56D4" w14:paraId="210BB7F2" w14:textId="77777777" w:rsidTr="654E3B48">
        <w:tc>
          <w:tcPr>
            <w:tcW w:w="3435" w:type="dxa"/>
            <w:gridSpan w:val="2"/>
          </w:tcPr>
          <w:p w14:paraId="24376D05" w14:textId="21913A93" w:rsidR="309198C5" w:rsidRDefault="309198C5" w:rsidP="519E56D4">
            <w:pPr>
              <w:spacing w:line="259" w:lineRule="auto"/>
            </w:pPr>
            <w:r w:rsidRPr="519E56D4">
              <w:rPr>
                <w:rFonts w:ascii="Arial" w:eastAsia="Arial" w:hAnsi="Arial" w:cs="Arial"/>
                <w:sz w:val="18"/>
                <w:szCs w:val="18"/>
              </w:rPr>
              <w:t>Network Segmentation</w:t>
            </w:r>
          </w:p>
        </w:tc>
        <w:tc>
          <w:tcPr>
            <w:tcW w:w="5925" w:type="dxa"/>
          </w:tcPr>
          <w:p w14:paraId="247B4C01" w14:textId="1F4DBF54" w:rsidR="309198C5" w:rsidRDefault="309198C5" w:rsidP="519E56D4">
            <w:pPr>
              <w:rPr>
                <w:rFonts w:ascii="Arial" w:eastAsia="Arial" w:hAnsi="Arial" w:cs="Arial"/>
                <w:color w:val="404040" w:themeColor="text1" w:themeTint="BF"/>
                <w:sz w:val="18"/>
                <w:szCs w:val="18"/>
              </w:rPr>
            </w:pPr>
            <w:r w:rsidRPr="519E56D4">
              <w:rPr>
                <w:rFonts w:ascii="Arial" w:eastAsia="Arial" w:hAnsi="Arial" w:cs="Arial"/>
                <w:color w:val="404040" w:themeColor="text1" w:themeTint="BF"/>
                <w:sz w:val="18"/>
                <w:szCs w:val="18"/>
              </w:rPr>
              <w:t>Network segmentation can be used to isolate IaaS components that do not require broad network access.</w:t>
            </w:r>
          </w:p>
        </w:tc>
      </w:tr>
      <w:tr w:rsidR="519E56D4" w14:paraId="02F9987D" w14:textId="77777777" w:rsidTr="654E3B48">
        <w:tc>
          <w:tcPr>
            <w:tcW w:w="3435" w:type="dxa"/>
            <w:gridSpan w:val="2"/>
          </w:tcPr>
          <w:p w14:paraId="5063BEE3" w14:textId="454BEAF6" w:rsidR="65B2A888" w:rsidRDefault="65B2A888" w:rsidP="519E56D4">
            <w:pPr>
              <w:spacing w:line="259" w:lineRule="auto"/>
            </w:pPr>
            <w:r w:rsidRPr="519E56D4">
              <w:rPr>
                <w:rFonts w:ascii="Arial" w:eastAsia="Arial" w:hAnsi="Arial" w:cs="Arial"/>
                <w:sz w:val="18"/>
                <w:szCs w:val="18"/>
              </w:rPr>
              <w:t>User Account Control</w:t>
            </w:r>
          </w:p>
        </w:tc>
        <w:tc>
          <w:tcPr>
            <w:tcW w:w="5925" w:type="dxa"/>
          </w:tcPr>
          <w:p w14:paraId="1B18AE24" w14:textId="4E38067E" w:rsidR="65B2A888" w:rsidRDefault="1ACE57BA" w:rsidP="74AF7419">
            <w:pPr>
              <w:rPr>
                <w:rFonts w:ascii="Arial" w:eastAsia="Arial" w:hAnsi="Arial" w:cs="Arial"/>
                <w:color w:val="000000" w:themeColor="text1"/>
                <w:sz w:val="18"/>
                <w:szCs w:val="18"/>
              </w:rPr>
            </w:pPr>
            <w:r w:rsidRPr="654E3B48">
              <w:rPr>
                <w:rFonts w:ascii="Arial" w:eastAsia="Arial" w:hAnsi="Arial" w:cs="Arial"/>
                <w:color w:val="000000" w:themeColor="text1"/>
                <w:sz w:val="18"/>
                <w:szCs w:val="18"/>
              </w:rPr>
              <w:t>Properly manage accounts and permissions used by parties in trusted relationships to minimize potential abuse by the party and if the party is compromised by an adversary.</w:t>
            </w:r>
            <w:r w:rsidR="03EDA854" w:rsidRPr="654E3B48">
              <w:rPr>
                <w:rFonts w:ascii="Arial" w:eastAsia="Arial" w:hAnsi="Arial" w:cs="Arial"/>
                <w:color w:val="000000" w:themeColor="text1"/>
                <w:sz w:val="18"/>
                <w:szCs w:val="18"/>
              </w:rPr>
              <w:t xml:space="preserve"> AWS</w:t>
            </w:r>
            <w:r w:rsidR="4145E90D" w:rsidRPr="654E3B48">
              <w:rPr>
                <w:rFonts w:ascii="Arial" w:eastAsia="Arial" w:hAnsi="Arial" w:cs="Arial"/>
                <w:color w:val="000000" w:themeColor="text1"/>
                <w:sz w:val="18"/>
                <w:szCs w:val="18"/>
              </w:rPr>
              <w:t xml:space="preserve"> and Azure</w:t>
            </w:r>
            <w:r w:rsidR="03EDA854" w:rsidRPr="654E3B48">
              <w:rPr>
                <w:rFonts w:ascii="Arial" w:eastAsia="Arial" w:hAnsi="Arial" w:cs="Arial"/>
                <w:color w:val="000000" w:themeColor="text1"/>
                <w:sz w:val="18"/>
                <w:szCs w:val="18"/>
              </w:rPr>
              <w:t xml:space="preserve"> can assign roles to its entities, which allows for strong IAM policies for various services like serverless functions, containers, or workloads.</w:t>
            </w:r>
          </w:p>
        </w:tc>
      </w:tr>
      <w:tr w:rsidR="74AF7419" w14:paraId="4BCB35C4" w14:textId="77777777" w:rsidTr="654E3B48">
        <w:tc>
          <w:tcPr>
            <w:tcW w:w="3435" w:type="dxa"/>
            <w:gridSpan w:val="2"/>
          </w:tcPr>
          <w:p w14:paraId="11B7D04B" w14:textId="2A9B04C8" w:rsidR="6312ADFA" w:rsidRDefault="6312ADFA" w:rsidP="74AF7419">
            <w:pPr>
              <w:spacing w:line="259" w:lineRule="auto"/>
              <w:rPr>
                <w:rFonts w:ascii="Arial" w:eastAsia="Arial" w:hAnsi="Arial" w:cs="Arial"/>
                <w:sz w:val="18"/>
                <w:szCs w:val="18"/>
              </w:rPr>
            </w:pPr>
            <w:r w:rsidRPr="74AF7419">
              <w:rPr>
                <w:rFonts w:ascii="Arial" w:eastAsia="Arial" w:hAnsi="Arial" w:cs="Arial"/>
                <w:sz w:val="18"/>
                <w:szCs w:val="18"/>
              </w:rPr>
              <w:t>Making Trust Determinations</w:t>
            </w:r>
          </w:p>
        </w:tc>
        <w:tc>
          <w:tcPr>
            <w:tcW w:w="5925" w:type="dxa"/>
          </w:tcPr>
          <w:p w14:paraId="7870193B" w14:textId="3AD82FB9" w:rsidR="6312ADFA" w:rsidRDefault="6312ADFA" w:rsidP="74AF7419">
            <w:pPr>
              <w:rPr>
                <w:rFonts w:ascii="Arial" w:eastAsia="Arial" w:hAnsi="Arial" w:cs="Arial"/>
                <w:color w:val="000000" w:themeColor="text1"/>
                <w:sz w:val="18"/>
                <w:szCs w:val="18"/>
              </w:rPr>
            </w:pPr>
            <w:r w:rsidRPr="74AF7419">
              <w:rPr>
                <w:rFonts w:ascii="Arial" w:eastAsia="Arial" w:hAnsi="Arial" w:cs="Arial"/>
                <w:color w:val="000000" w:themeColor="text1"/>
                <w:sz w:val="18"/>
                <w:szCs w:val="18"/>
              </w:rPr>
              <w:t>Trust determinations in Azure AD can be made through Hybrid Identity, Azure AD Connect, password hash synchronization, pass-through authentication, federation, and single sign-on.</w:t>
            </w:r>
          </w:p>
        </w:tc>
      </w:tr>
      <w:tr w:rsidR="74AF7419" w14:paraId="65A89C9F" w14:textId="77777777" w:rsidTr="654E3B48">
        <w:tc>
          <w:tcPr>
            <w:tcW w:w="3435" w:type="dxa"/>
            <w:gridSpan w:val="2"/>
          </w:tcPr>
          <w:p w14:paraId="65E8E3B9" w14:textId="6AB2D18E" w:rsidR="27878613" w:rsidRDefault="27878613" w:rsidP="74AF7419">
            <w:pPr>
              <w:spacing w:line="259" w:lineRule="auto"/>
              <w:rPr>
                <w:rFonts w:ascii="Arial" w:eastAsia="Arial" w:hAnsi="Arial" w:cs="Arial"/>
                <w:sz w:val="18"/>
                <w:szCs w:val="18"/>
              </w:rPr>
            </w:pPr>
            <w:r w:rsidRPr="74AF7419">
              <w:rPr>
                <w:rFonts w:ascii="Arial" w:eastAsia="Arial" w:hAnsi="Arial" w:cs="Arial"/>
                <w:sz w:val="18"/>
                <w:szCs w:val="18"/>
              </w:rPr>
              <w:t>Least Privilege</w:t>
            </w:r>
          </w:p>
        </w:tc>
        <w:tc>
          <w:tcPr>
            <w:tcW w:w="5925" w:type="dxa"/>
          </w:tcPr>
          <w:p w14:paraId="3D9F77F3" w14:textId="38F2D66B" w:rsidR="27878613" w:rsidRDefault="5A1486A4" w:rsidP="58FC5E7D">
            <w:pPr>
              <w:rPr>
                <w:rFonts w:ascii="Arial" w:eastAsia="Arial" w:hAnsi="Arial" w:cs="Arial"/>
                <w:color w:val="222A35" w:themeColor="text2" w:themeShade="80"/>
                <w:sz w:val="18"/>
                <w:szCs w:val="18"/>
              </w:rPr>
            </w:pPr>
            <w:r w:rsidRPr="58FC5E7D">
              <w:rPr>
                <w:rFonts w:ascii="Arial" w:eastAsia="Arial" w:hAnsi="Arial" w:cs="Arial"/>
                <w:sz w:val="18"/>
                <w:szCs w:val="18"/>
              </w:rPr>
              <w:t>All access given to users in the cloud environment should be assigned by the necessary privileges needed for team members to complete their job responsibilities.</w:t>
            </w:r>
            <w:r w:rsidRPr="58FC5E7D">
              <w:rPr>
                <w:rFonts w:ascii="Arial" w:eastAsia="Arial" w:hAnsi="Arial" w:cs="Arial"/>
                <w:color w:val="222A35" w:themeColor="text2" w:themeShade="80"/>
                <w:sz w:val="18"/>
                <w:szCs w:val="18"/>
              </w:rPr>
              <w:t xml:space="preserve"> </w:t>
            </w:r>
          </w:p>
        </w:tc>
      </w:tr>
      <w:tr w:rsidR="55B167AF" w14:paraId="27190CE1" w14:textId="77777777" w:rsidTr="654E3B48">
        <w:tc>
          <w:tcPr>
            <w:tcW w:w="1560" w:type="dxa"/>
          </w:tcPr>
          <w:p w14:paraId="42CB9F99" w14:textId="72FCC62E" w:rsidR="55B167AF" w:rsidRDefault="55B167AF" w:rsidP="55B167AF">
            <w:pPr>
              <w:spacing w:line="259" w:lineRule="auto"/>
              <w:rPr>
                <w:rFonts w:ascii="Arial" w:eastAsia="Arial" w:hAnsi="Arial" w:cs="Arial"/>
                <w:sz w:val="18"/>
                <w:szCs w:val="18"/>
              </w:rPr>
            </w:pPr>
          </w:p>
        </w:tc>
        <w:tc>
          <w:tcPr>
            <w:tcW w:w="1875" w:type="dxa"/>
          </w:tcPr>
          <w:p w14:paraId="22090FC4" w14:textId="7111AC53" w:rsidR="275FA1A3" w:rsidRDefault="275FA1A3" w:rsidP="55B167AF">
            <w:pPr>
              <w:spacing w:line="259" w:lineRule="auto"/>
              <w:rPr>
                <w:rFonts w:ascii="Arial" w:eastAsia="Arial" w:hAnsi="Arial" w:cs="Arial"/>
                <w:i/>
                <w:iCs/>
                <w:sz w:val="18"/>
                <w:szCs w:val="18"/>
              </w:rPr>
            </w:pPr>
            <w:r w:rsidRPr="55B167AF">
              <w:rPr>
                <w:rFonts w:ascii="Arial" w:eastAsia="Arial" w:hAnsi="Arial" w:cs="Arial"/>
                <w:i/>
                <w:iCs/>
                <w:sz w:val="18"/>
                <w:szCs w:val="18"/>
              </w:rPr>
              <w:t>AWS</w:t>
            </w:r>
          </w:p>
        </w:tc>
        <w:tc>
          <w:tcPr>
            <w:tcW w:w="5925" w:type="dxa"/>
          </w:tcPr>
          <w:p w14:paraId="535CD43B" w14:textId="483EED2A" w:rsidR="1945FD3C" w:rsidRDefault="3D30AD81" w:rsidP="58FC5E7D">
            <w:pPr>
              <w:rPr>
                <w:rFonts w:ascii="Arial" w:eastAsia="Arial" w:hAnsi="Arial" w:cs="Arial"/>
                <w:sz w:val="18"/>
                <w:szCs w:val="18"/>
              </w:rPr>
            </w:pPr>
            <w:r w:rsidRPr="58FC5E7D">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58FC5E7D">
              <w:rPr>
                <w:rFonts w:ascii="Arial" w:eastAsia="Arial" w:hAnsi="Arial" w:cs="Arial"/>
                <w:i/>
                <w:iCs/>
                <w:sz w:val="18"/>
                <w:szCs w:val="18"/>
              </w:rPr>
              <w:t>last accessed information</w:t>
            </w:r>
            <w:r w:rsidRPr="58FC5E7D">
              <w:rPr>
                <w:rFonts w:ascii="Arial" w:eastAsia="Arial" w:hAnsi="Arial" w:cs="Arial"/>
                <w:sz w:val="18"/>
                <w:szCs w:val="18"/>
              </w:rPr>
              <w:t xml:space="preserve"> and A</w:t>
            </w:r>
            <w:r w:rsidRPr="58FC5E7D">
              <w:rPr>
                <w:rFonts w:ascii="Arial" w:eastAsia="Arial" w:hAnsi="Arial" w:cs="Arial"/>
                <w:i/>
                <w:iCs/>
                <w:sz w:val="18"/>
                <w:szCs w:val="18"/>
              </w:rPr>
              <w:t>WS CloudTrail event history</w:t>
            </w:r>
            <w:r w:rsidRPr="58FC5E7D">
              <w:rPr>
                <w:rFonts w:ascii="Arial" w:eastAsia="Arial" w:hAnsi="Arial" w:cs="Arial"/>
                <w:sz w:val="18"/>
                <w:szCs w:val="18"/>
              </w:rPr>
              <w:t xml:space="preserve"> to get a better understanding of privileges that might be needed or reduced based on a specific role. Full details can be found at </w:t>
            </w:r>
            <w:r w:rsidRPr="58FC5E7D">
              <w:rPr>
                <w:rFonts w:ascii="Arial" w:eastAsia="Arial" w:hAnsi="Arial" w:cs="Arial"/>
                <w:b/>
                <w:bCs/>
                <w:sz w:val="18"/>
                <w:szCs w:val="18"/>
              </w:rPr>
              <w:t>https://docs.aws.amazon.com/IAM/latest/UserGuide/best-practices.html#grant-least-privilege.</w:t>
            </w:r>
          </w:p>
        </w:tc>
      </w:tr>
      <w:tr w:rsidR="55B167AF" w14:paraId="3AF42CD2" w14:textId="77777777" w:rsidTr="654E3B48">
        <w:tc>
          <w:tcPr>
            <w:tcW w:w="1560" w:type="dxa"/>
          </w:tcPr>
          <w:p w14:paraId="32AB622E" w14:textId="70A63EF2" w:rsidR="55B167AF" w:rsidRDefault="55B167AF" w:rsidP="55B167AF">
            <w:pPr>
              <w:spacing w:line="259" w:lineRule="auto"/>
              <w:rPr>
                <w:rFonts w:ascii="Arial" w:eastAsia="Arial" w:hAnsi="Arial" w:cs="Arial"/>
                <w:sz w:val="18"/>
                <w:szCs w:val="18"/>
              </w:rPr>
            </w:pPr>
          </w:p>
        </w:tc>
        <w:tc>
          <w:tcPr>
            <w:tcW w:w="1875" w:type="dxa"/>
          </w:tcPr>
          <w:p w14:paraId="2799036D" w14:textId="341FCAC8" w:rsidR="275FA1A3" w:rsidRDefault="275FA1A3" w:rsidP="55B167AF">
            <w:pPr>
              <w:rPr>
                <w:rFonts w:ascii="Arial" w:eastAsia="Arial" w:hAnsi="Arial" w:cs="Arial"/>
                <w:i/>
                <w:iCs/>
                <w:sz w:val="18"/>
                <w:szCs w:val="18"/>
              </w:rPr>
            </w:pPr>
            <w:r w:rsidRPr="55B167AF">
              <w:rPr>
                <w:rFonts w:ascii="Arial" w:eastAsia="Arial" w:hAnsi="Arial" w:cs="Arial"/>
                <w:i/>
                <w:iCs/>
                <w:sz w:val="18"/>
                <w:szCs w:val="18"/>
              </w:rPr>
              <w:t>Azure</w:t>
            </w:r>
          </w:p>
        </w:tc>
        <w:tc>
          <w:tcPr>
            <w:tcW w:w="5925" w:type="dxa"/>
          </w:tcPr>
          <w:p w14:paraId="32C20457" w14:textId="5D8221C8" w:rsidR="275FA1A3" w:rsidRDefault="26FBE704" w:rsidP="58FC5E7D">
            <w:pPr>
              <w:rPr>
                <w:rFonts w:ascii="Arial" w:eastAsia="Arial" w:hAnsi="Arial" w:cs="Arial"/>
                <w:sz w:val="18"/>
                <w:szCs w:val="18"/>
              </w:rPr>
            </w:pPr>
            <w:r w:rsidRPr="58FC5E7D">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58FC5E7D">
              <w:rPr>
                <w:rFonts w:ascii="Arial" w:eastAsia="Arial" w:hAnsi="Arial" w:cs="Arial"/>
                <w:b/>
                <w:bCs/>
                <w:sz w:val="18"/>
                <w:szCs w:val="18"/>
              </w:rPr>
              <w:t xml:space="preserve"> https://docs.microsoft.com/en-us/azure/active-directory/users-groups-roles/roles-delegate-by-task.</w:t>
            </w:r>
            <w:r w:rsidRPr="58FC5E7D">
              <w:rPr>
                <w:rFonts w:ascii="Arial" w:eastAsia="Arial" w:hAnsi="Arial" w:cs="Arial"/>
                <w:sz w:val="18"/>
                <w:szCs w:val="18"/>
              </w:rPr>
              <w:t xml:space="preserve"> To learn how to assign specific roles it can be done via the Azure Active Directory Portal. Instructions on how to assign roles can be found here: </w:t>
            </w:r>
            <w:r w:rsidRPr="58FC5E7D">
              <w:rPr>
                <w:rFonts w:ascii="Arial" w:eastAsia="Arial" w:hAnsi="Arial" w:cs="Arial"/>
                <w:b/>
                <w:bCs/>
                <w:sz w:val="18"/>
                <w:szCs w:val="18"/>
              </w:rPr>
              <w:t>https://docs.microsoft.com/en-us/azure/active-directory/users-groups-roles/directory-manage-roles-portal.</w:t>
            </w:r>
          </w:p>
        </w:tc>
      </w:tr>
      <w:tr w:rsidR="58FC5E7D" w14:paraId="0B214395" w14:textId="77777777" w:rsidTr="654E3B48">
        <w:tc>
          <w:tcPr>
            <w:tcW w:w="1560" w:type="dxa"/>
          </w:tcPr>
          <w:p w14:paraId="6F1553D4" w14:textId="5E2A2474" w:rsidR="58FC5E7D" w:rsidRDefault="58FC5E7D" w:rsidP="58FC5E7D">
            <w:pPr>
              <w:spacing w:line="259" w:lineRule="auto"/>
              <w:rPr>
                <w:rFonts w:ascii="Arial" w:eastAsia="Arial" w:hAnsi="Arial" w:cs="Arial"/>
                <w:sz w:val="18"/>
                <w:szCs w:val="18"/>
              </w:rPr>
            </w:pPr>
          </w:p>
        </w:tc>
        <w:tc>
          <w:tcPr>
            <w:tcW w:w="1875" w:type="dxa"/>
          </w:tcPr>
          <w:p w14:paraId="4A31F41B" w14:textId="07315CE3" w:rsidR="129A2A24" w:rsidRDefault="129A2A24" w:rsidP="58FC5E7D">
            <w:pPr>
              <w:rPr>
                <w:rFonts w:ascii="Arial" w:eastAsia="Arial" w:hAnsi="Arial" w:cs="Arial"/>
                <w:i/>
                <w:iCs/>
                <w:sz w:val="18"/>
                <w:szCs w:val="18"/>
              </w:rPr>
            </w:pPr>
            <w:r w:rsidRPr="58FC5E7D">
              <w:rPr>
                <w:rFonts w:ascii="Arial" w:eastAsia="Arial" w:hAnsi="Arial" w:cs="Arial"/>
                <w:i/>
                <w:iCs/>
                <w:sz w:val="18"/>
                <w:szCs w:val="18"/>
              </w:rPr>
              <w:t>GCP</w:t>
            </w:r>
          </w:p>
        </w:tc>
        <w:tc>
          <w:tcPr>
            <w:tcW w:w="5925" w:type="dxa"/>
          </w:tcPr>
          <w:p w14:paraId="61B8F263" w14:textId="4C38B878" w:rsidR="242B0766" w:rsidRDefault="242B0766" w:rsidP="58FC5E7D">
            <w:pPr>
              <w:rPr>
                <w:rFonts w:ascii="Arial" w:eastAsia="Arial" w:hAnsi="Arial" w:cs="Arial"/>
                <w:sz w:val="18"/>
                <w:szCs w:val="18"/>
              </w:rPr>
            </w:pPr>
            <w:r w:rsidRPr="58FC5E7D">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58FC5E7D">
              <w:rPr>
                <w:rFonts w:ascii="Arial" w:eastAsia="Arial" w:hAnsi="Arial" w:cs="Arial"/>
                <w:b/>
                <w:bCs/>
                <w:sz w:val="18"/>
                <w:szCs w:val="18"/>
              </w:rPr>
              <w:t>https://cloud.google.com/iam/docs/understanding-roles.</w:t>
            </w:r>
            <w:r w:rsidRPr="58FC5E7D">
              <w:rPr>
                <w:rFonts w:ascii="Arial" w:eastAsia="Arial" w:hAnsi="Arial" w:cs="Arial"/>
                <w:sz w:val="18"/>
                <w:szCs w:val="18"/>
              </w:rPr>
              <w:t xml:space="preserve"> To assign these roles IAM service accounts are used and complete details can be found at: </w:t>
            </w:r>
            <w:r w:rsidRPr="58FC5E7D">
              <w:rPr>
                <w:rFonts w:ascii="Arial" w:eastAsia="Arial" w:hAnsi="Arial" w:cs="Arial"/>
                <w:b/>
                <w:bCs/>
                <w:sz w:val="18"/>
                <w:szCs w:val="18"/>
              </w:rPr>
              <w:t>https://cloud.google.com/iam/docs/using-iam-securely#least_privilege.</w:t>
            </w:r>
          </w:p>
        </w:tc>
      </w:tr>
    </w:tbl>
    <w:p w14:paraId="2B7D0215" w14:textId="7F2C057F" w:rsidR="58FC5E7D" w:rsidRDefault="58FC5E7D"/>
    <w:p w14:paraId="1395D377" w14:textId="62F108E5" w:rsidR="6601C4F5" w:rsidRDefault="6601C4F5" w:rsidP="55B167AF">
      <w:pPr>
        <w:spacing w:beforeAutospacing="1" w:afterAutospacing="1"/>
        <w:rPr>
          <w:rFonts w:ascii="Arial" w:eastAsia="Arial" w:hAnsi="Arial" w:cs="Arial"/>
          <w:color w:val="39434C"/>
          <w:sz w:val="36"/>
          <w:szCs w:val="36"/>
        </w:rPr>
      </w:pPr>
    </w:p>
    <w:p w14:paraId="04EEF890" w14:textId="3524A453" w:rsidR="6601C4F5" w:rsidRDefault="6601C4F5" w:rsidP="550D3B50">
      <w:pPr>
        <w:spacing w:afterAutospacing="1"/>
        <w:rPr>
          <w:rFonts w:ascii="Arial" w:eastAsia="Arial" w:hAnsi="Arial" w:cs="Arial"/>
          <w:sz w:val="36"/>
          <w:szCs w:val="36"/>
        </w:rPr>
      </w:pPr>
      <w:r w:rsidRPr="550D3B50">
        <w:rPr>
          <w:rFonts w:ascii="Arial" w:eastAsia="Arial" w:hAnsi="Arial" w:cs="Arial"/>
          <w:sz w:val="32"/>
          <w:szCs w:val="32"/>
        </w:rPr>
        <w:t>Detection</w:t>
      </w:r>
    </w:p>
    <w:tbl>
      <w:tblPr>
        <w:tblStyle w:val="TableGrid"/>
        <w:tblW w:w="0" w:type="auto"/>
        <w:tblLook w:val="04A0" w:firstRow="1" w:lastRow="0" w:firstColumn="1" w:lastColumn="0" w:noHBand="0" w:noVBand="1"/>
      </w:tblPr>
      <w:tblGrid>
        <w:gridCol w:w="1558"/>
        <w:gridCol w:w="1873"/>
        <w:gridCol w:w="5919"/>
      </w:tblGrid>
      <w:tr w:rsidR="550D3B50" w14:paraId="227A9DF7" w14:textId="77777777" w:rsidTr="550D3B50">
        <w:tc>
          <w:tcPr>
            <w:tcW w:w="3435" w:type="dxa"/>
            <w:gridSpan w:val="2"/>
          </w:tcPr>
          <w:p w14:paraId="420F9792" w14:textId="1C76E424" w:rsidR="550D3B50" w:rsidRDefault="550D3B50" w:rsidP="550D3B50">
            <w:pPr>
              <w:rPr>
                <w:rFonts w:ascii="Arial" w:eastAsia="Arial" w:hAnsi="Arial" w:cs="Arial"/>
              </w:rPr>
            </w:pPr>
            <w:r w:rsidRPr="550D3B50">
              <w:rPr>
                <w:rFonts w:ascii="Arial" w:eastAsia="Arial" w:hAnsi="Arial" w:cs="Arial"/>
                <w:b/>
                <w:bCs/>
              </w:rPr>
              <w:t>Mitigation</w:t>
            </w:r>
          </w:p>
        </w:tc>
        <w:tc>
          <w:tcPr>
            <w:tcW w:w="5925" w:type="dxa"/>
          </w:tcPr>
          <w:p w14:paraId="30FAB06F" w14:textId="7B09317A" w:rsidR="550D3B50" w:rsidRDefault="550D3B50" w:rsidP="550D3B50">
            <w:pPr>
              <w:rPr>
                <w:rFonts w:ascii="Arial" w:eastAsia="Arial" w:hAnsi="Arial" w:cs="Arial"/>
              </w:rPr>
            </w:pPr>
            <w:r w:rsidRPr="550D3B50">
              <w:rPr>
                <w:rFonts w:ascii="Arial" w:eastAsia="Arial" w:hAnsi="Arial" w:cs="Arial"/>
                <w:b/>
                <w:bCs/>
              </w:rPr>
              <w:t>Description</w:t>
            </w:r>
            <w:r w:rsidRPr="550D3B50">
              <w:rPr>
                <w:rFonts w:ascii="Arial" w:eastAsia="Arial" w:hAnsi="Arial" w:cs="Arial"/>
              </w:rPr>
              <w:t> </w:t>
            </w:r>
          </w:p>
        </w:tc>
      </w:tr>
      <w:tr w:rsidR="550D3B50" w14:paraId="13B25AC5" w14:textId="77777777" w:rsidTr="550D3B50">
        <w:tc>
          <w:tcPr>
            <w:tcW w:w="3435" w:type="dxa"/>
            <w:gridSpan w:val="2"/>
          </w:tcPr>
          <w:p w14:paraId="444FCD68" w14:textId="0118E7F6" w:rsidR="372D0E48" w:rsidRDefault="372D0E48" w:rsidP="550D3B50">
            <w:pPr>
              <w:spacing w:line="259" w:lineRule="auto"/>
              <w:rPr>
                <w:rFonts w:ascii="Arial" w:eastAsia="Arial" w:hAnsi="Arial" w:cs="Arial"/>
                <w:sz w:val="18"/>
                <w:szCs w:val="18"/>
              </w:rPr>
            </w:pPr>
            <w:r w:rsidRPr="550D3B50">
              <w:rPr>
                <w:rFonts w:ascii="Arial" w:eastAsia="Arial" w:hAnsi="Arial" w:cs="Arial"/>
                <w:sz w:val="18"/>
                <w:szCs w:val="18"/>
              </w:rPr>
              <w:t>Monitoring</w:t>
            </w:r>
          </w:p>
        </w:tc>
        <w:tc>
          <w:tcPr>
            <w:tcW w:w="5925" w:type="dxa"/>
          </w:tcPr>
          <w:p w14:paraId="2AC9980C" w14:textId="775865F5" w:rsidR="372D0E48" w:rsidRDefault="372D0E48" w:rsidP="550D3B50">
            <w:pPr>
              <w:rPr>
                <w:rFonts w:ascii="Arial" w:eastAsia="Arial" w:hAnsi="Arial" w:cs="Arial"/>
                <w:sz w:val="18"/>
                <w:szCs w:val="18"/>
              </w:rPr>
            </w:pPr>
            <w:r w:rsidRPr="550D3B50">
              <w:rPr>
                <w:rFonts w:ascii="Arial" w:eastAsia="Arial" w:hAnsi="Arial" w:cs="Arial"/>
                <w:sz w:val="18"/>
                <w:szCs w:val="18"/>
              </w:rPr>
              <w:t>Establish monitoring for activity conducted by second and third party providers and other trusted entities that may be leveraged as a means to gain access to the network.</w:t>
            </w:r>
            <w:r w:rsidR="47E6B7C8" w:rsidRPr="550D3B50">
              <w:rPr>
                <w:rFonts w:ascii="Arial" w:eastAsia="Arial" w:hAnsi="Arial" w:cs="Arial"/>
                <w:sz w:val="18"/>
                <w:szCs w:val="18"/>
              </w:rPr>
              <w:t xml:space="preserve"> Depending on the type of relationship, an adversary may have access to significant amounts of information about the target before conducting an operation, especially if the trusted relationship is based on IT services. Adversaries may be able to act quickly towards an objective, so proper monitoring for behavior related to Credential Access, Lateral Movement, and Collection will be important to detect the intrusion.</w:t>
            </w:r>
          </w:p>
        </w:tc>
      </w:tr>
      <w:tr w:rsidR="550D3B50" w14:paraId="5FBAC739" w14:textId="77777777" w:rsidTr="550D3B50">
        <w:tc>
          <w:tcPr>
            <w:tcW w:w="1560" w:type="dxa"/>
          </w:tcPr>
          <w:p w14:paraId="48B817E4" w14:textId="0F53DBD1" w:rsidR="550D3B50" w:rsidRDefault="550D3B50" w:rsidP="550D3B50">
            <w:pPr>
              <w:spacing w:line="259" w:lineRule="auto"/>
              <w:rPr>
                <w:rFonts w:ascii="Arial" w:eastAsia="Arial" w:hAnsi="Arial" w:cs="Arial"/>
                <w:sz w:val="18"/>
                <w:szCs w:val="18"/>
              </w:rPr>
            </w:pPr>
          </w:p>
        </w:tc>
        <w:tc>
          <w:tcPr>
            <w:tcW w:w="1875" w:type="dxa"/>
          </w:tcPr>
          <w:p w14:paraId="25885BAE" w14:textId="72030F15" w:rsidR="550D3B50" w:rsidRDefault="550D3B50" w:rsidP="550D3B50">
            <w:pPr>
              <w:rPr>
                <w:rFonts w:ascii="Arial" w:eastAsia="Arial" w:hAnsi="Arial" w:cs="Arial"/>
                <w:sz w:val="18"/>
                <w:szCs w:val="18"/>
              </w:rPr>
            </w:pPr>
            <w:r w:rsidRPr="550D3B50">
              <w:rPr>
                <w:rFonts w:ascii="Arial" w:eastAsia="Arial" w:hAnsi="Arial" w:cs="Arial"/>
                <w:sz w:val="18"/>
                <w:szCs w:val="18"/>
              </w:rPr>
              <w:t>AWS</w:t>
            </w:r>
          </w:p>
        </w:tc>
        <w:tc>
          <w:tcPr>
            <w:tcW w:w="5925" w:type="dxa"/>
          </w:tcPr>
          <w:p w14:paraId="519D468F" w14:textId="60EE3508" w:rsidR="26F58D7E" w:rsidRDefault="26F58D7E" w:rsidP="550D3B50">
            <w:pPr>
              <w:spacing w:line="259" w:lineRule="auto"/>
              <w:rPr>
                <w:rFonts w:ascii="Arial" w:eastAsia="Arial" w:hAnsi="Arial" w:cs="Arial"/>
                <w:sz w:val="18"/>
                <w:szCs w:val="18"/>
              </w:rPr>
            </w:pPr>
            <w:r w:rsidRPr="550D3B50">
              <w:rPr>
                <w:rFonts w:ascii="Arial" w:eastAsia="Arial" w:hAnsi="Arial" w:cs="Arial"/>
                <w:sz w:val="18"/>
                <w:szCs w:val="18"/>
              </w:rPr>
              <w:t>Various services in AWS offer logging features that allow for detection capabilities. These include CloudFront, CloudTrail, CloudWatch, Config, and S3.</w:t>
            </w:r>
          </w:p>
          <w:p w14:paraId="462E71B0" w14:textId="2D853F0E" w:rsidR="1FE2C4B5" w:rsidRDefault="1FE2C4B5" w:rsidP="550D3B50">
            <w:pPr>
              <w:spacing w:line="259" w:lineRule="auto"/>
              <w:rPr>
                <w:rFonts w:ascii="Arial" w:eastAsia="Arial" w:hAnsi="Arial" w:cs="Arial"/>
                <w:sz w:val="18"/>
                <w:szCs w:val="18"/>
              </w:rPr>
            </w:pPr>
            <w:r w:rsidRPr="550D3B50">
              <w:rPr>
                <w:rFonts w:ascii="Arial" w:eastAsia="Arial" w:hAnsi="Arial" w:cs="Arial"/>
                <w:sz w:val="18"/>
                <w:szCs w:val="18"/>
              </w:rPr>
              <w:t>To create a metric filter and alarm:</w:t>
            </w:r>
          </w:p>
          <w:p w14:paraId="5409512E" w14:textId="7D5AE0D4" w:rsidR="1FE2C4B5" w:rsidRDefault="1FE2C4B5" w:rsidP="550D3B50">
            <w:pPr>
              <w:pStyle w:val="ListParagraph"/>
              <w:numPr>
                <w:ilvl w:val="0"/>
                <w:numId w:val="1"/>
              </w:numPr>
              <w:spacing w:after="160" w:line="259" w:lineRule="auto"/>
              <w:rPr>
                <w:rFonts w:eastAsiaTheme="minorEastAsia"/>
                <w:sz w:val="18"/>
                <w:szCs w:val="18"/>
              </w:rPr>
            </w:pPr>
            <w:r w:rsidRPr="550D3B50">
              <w:rPr>
                <w:rFonts w:ascii="Arial" w:eastAsia="Arial" w:hAnsi="Arial" w:cs="Arial"/>
                <w:sz w:val="18"/>
                <w:szCs w:val="18"/>
              </w:rPr>
              <w:t xml:space="preserve">Create a metric filter that checks for IAM policy changes and the </w:t>
            </w:r>
            <w:r w:rsidRPr="550D3B50">
              <w:rPr>
                <w:rFonts w:ascii="Arial" w:eastAsia="Arial" w:hAnsi="Arial" w:cs="Arial"/>
                <w:i/>
                <w:iCs/>
                <w:sz w:val="18"/>
                <w:szCs w:val="18"/>
              </w:rPr>
              <w:t>&lt;</w:t>
            </w:r>
            <w:proofErr w:type="spellStart"/>
            <w:r w:rsidRPr="550D3B50">
              <w:rPr>
                <w:rFonts w:ascii="Arial" w:eastAsia="Arial" w:hAnsi="Arial" w:cs="Arial"/>
                <w:i/>
                <w:iCs/>
                <w:sz w:val="18"/>
                <w:szCs w:val="18"/>
              </w:rPr>
              <w:t>cloudtrail_log_group_name</w:t>
            </w:r>
            <w:proofErr w:type="spellEnd"/>
            <w:r w:rsidRPr="550D3B50">
              <w:rPr>
                <w:rFonts w:ascii="Arial" w:eastAsia="Arial" w:hAnsi="Arial" w:cs="Arial"/>
                <w:i/>
                <w:iCs/>
                <w:sz w:val="18"/>
                <w:szCs w:val="18"/>
              </w:rPr>
              <w:t>&gt;</w:t>
            </w:r>
          </w:p>
          <w:p w14:paraId="393741CB" w14:textId="1C69C49F" w:rsidR="1FE2C4B5" w:rsidRDefault="1FE2C4B5" w:rsidP="550D3B50">
            <w:pPr>
              <w:pStyle w:val="ListParagraph"/>
              <w:numPr>
                <w:ilvl w:val="0"/>
                <w:numId w:val="1"/>
              </w:numPr>
              <w:spacing w:after="160" w:line="259" w:lineRule="auto"/>
              <w:rPr>
                <w:rFonts w:eastAsiaTheme="minorEastAsia"/>
                <w:sz w:val="18"/>
                <w:szCs w:val="18"/>
              </w:rPr>
            </w:pPr>
            <w:r w:rsidRPr="550D3B50">
              <w:rPr>
                <w:rFonts w:ascii="Arial" w:eastAsia="Arial" w:hAnsi="Arial" w:cs="Arial"/>
                <w:sz w:val="18"/>
                <w:szCs w:val="18"/>
              </w:rPr>
              <w:t>Create an SNS topic</w:t>
            </w:r>
          </w:p>
          <w:p w14:paraId="30418EE6" w14:textId="0EA028D3" w:rsidR="1FE2C4B5" w:rsidRDefault="1FE2C4B5" w:rsidP="550D3B50">
            <w:pPr>
              <w:pStyle w:val="ListParagraph"/>
              <w:numPr>
                <w:ilvl w:val="0"/>
                <w:numId w:val="1"/>
              </w:numPr>
              <w:spacing w:after="160" w:line="259" w:lineRule="auto"/>
              <w:rPr>
                <w:rFonts w:eastAsiaTheme="minorEastAsia"/>
                <w:sz w:val="18"/>
                <w:szCs w:val="18"/>
              </w:rPr>
            </w:pPr>
            <w:r w:rsidRPr="550D3B50">
              <w:rPr>
                <w:rFonts w:ascii="Arial" w:eastAsia="Arial" w:hAnsi="Arial" w:cs="Arial"/>
                <w:sz w:val="18"/>
                <w:szCs w:val="18"/>
              </w:rPr>
              <w:t>Create an SNS subscription to the above topic</w:t>
            </w:r>
          </w:p>
          <w:p w14:paraId="6B09E0C1" w14:textId="7D5FEF1D" w:rsidR="1FE2C4B5" w:rsidRDefault="1FE2C4B5" w:rsidP="550D3B50">
            <w:pPr>
              <w:pStyle w:val="ListParagraph"/>
              <w:numPr>
                <w:ilvl w:val="0"/>
                <w:numId w:val="1"/>
              </w:numPr>
              <w:spacing w:after="160" w:line="259" w:lineRule="auto"/>
              <w:rPr>
                <w:rFonts w:eastAsiaTheme="minorEastAsia"/>
                <w:sz w:val="18"/>
                <w:szCs w:val="18"/>
              </w:rPr>
            </w:pPr>
            <w:r w:rsidRPr="550D3B50">
              <w:rPr>
                <w:rFonts w:ascii="Arial" w:eastAsia="Arial" w:hAnsi="Arial" w:cs="Arial"/>
                <w:sz w:val="18"/>
                <w:szCs w:val="18"/>
              </w:rPr>
              <w:t>Create an alarm associated with the filter and SNS topic created in steps 1 and 2 respectively</w:t>
            </w:r>
          </w:p>
        </w:tc>
      </w:tr>
      <w:tr w:rsidR="550D3B50" w14:paraId="6CA0C4C4" w14:textId="77777777" w:rsidTr="550D3B50">
        <w:tc>
          <w:tcPr>
            <w:tcW w:w="1560" w:type="dxa"/>
          </w:tcPr>
          <w:p w14:paraId="13391FB1" w14:textId="129A9989" w:rsidR="550D3B50" w:rsidRDefault="550D3B50" w:rsidP="550D3B50">
            <w:pPr>
              <w:spacing w:line="259" w:lineRule="auto"/>
              <w:rPr>
                <w:rFonts w:ascii="Arial" w:eastAsia="Arial" w:hAnsi="Arial" w:cs="Arial"/>
                <w:sz w:val="18"/>
                <w:szCs w:val="18"/>
              </w:rPr>
            </w:pPr>
          </w:p>
        </w:tc>
        <w:tc>
          <w:tcPr>
            <w:tcW w:w="1875" w:type="dxa"/>
          </w:tcPr>
          <w:p w14:paraId="2557E7BC" w14:textId="3EE71082" w:rsidR="550D3B50" w:rsidRDefault="550D3B50" w:rsidP="550D3B50">
            <w:pPr>
              <w:rPr>
                <w:rFonts w:ascii="Arial" w:eastAsia="Arial" w:hAnsi="Arial" w:cs="Arial"/>
                <w:sz w:val="18"/>
                <w:szCs w:val="18"/>
              </w:rPr>
            </w:pPr>
            <w:r w:rsidRPr="550D3B50">
              <w:rPr>
                <w:rFonts w:ascii="Arial" w:eastAsia="Arial" w:hAnsi="Arial" w:cs="Arial"/>
                <w:sz w:val="18"/>
                <w:szCs w:val="18"/>
              </w:rPr>
              <w:t>Azure</w:t>
            </w:r>
          </w:p>
        </w:tc>
        <w:tc>
          <w:tcPr>
            <w:tcW w:w="5925" w:type="dxa"/>
          </w:tcPr>
          <w:p w14:paraId="7B9D6428" w14:textId="292DB3B8" w:rsidR="1396BC19" w:rsidRDefault="1396BC19" w:rsidP="550D3B50">
            <w:pPr>
              <w:spacing w:line="259" w:lineRule="auto"/>
              <w:rPr>
                <w:rFonts w:ascii="Arial" w:eastAsia="Arial" w:hAnsi="Arial" w:cs="Arial"/>
                <w:sz w:val="18"/>
                <w:szCs w:val="18"/>
              </w:rPr>
            </w:pPr>
            <w:r w:rsidRPr="550D3B50">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p w14:paraId="668985F0" w14:textId="43E03228" w:rsidR="1396BC19" w:rsidRDefault="1396BC19" w:rsidP="550D3B50">
            <w:pPr>
              <w:spacing w:line="259" w:lineRule="auto"/>
              <w:rPr>
                <w:rFonts w:ascii="Arial" w:eastAsia="Arial" w:hAnsi="Arial" w:cs="Arial"/>
                <w:sz w:val="18"/>
                <w:szCs w:val="18"/>
              </w:rPr>
            </w:pPr>
            <w:r w:rsidRPr="550D3B50">
              <w:rPr>
                <w:rFonts w:ascii="Arial" w:eastAsia="Arial" w:hAnsi="Arial" w:cs="Arial"/>
                <w:sz w:val="18"/>
                <w:szCs w:val="18"/>
              </w:rPr>
              <w:t>To create a log alert in the Azure portal:</w:t>
            </w:r>
          </w:p>
          <w:p w14:paraId="19BD0B1B" w14:textId="5C00D565"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Select </w:t>
            </w:r>
            <w:r w:rsidRPr="550D3B50">
              <w:rPr>
                <w:rFonts w:ascii="Arial" w:eastAsia="Arial" w:hAnsi="Arial" w:cs="Arial"/>
                <w:b/>
                <w:bCs/>
                <w:sz w:val="18"/>
                <w:szCs w:val="18"/>
              </w:rPr>
              <w:t>Monitor -&gt; Alerts</w:t>
            </w:r>
          </w:p>
          <w:p w14:paraId="3967F4F2" w14:textId="30AC1DE8"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Select </w:t>
            </w:r>
            <w:r w:rsidRPr="550D3B50">
              <w:rPr>
                <w:rFonts w:ascii="Arial" w:eastAsia="Arial" w:hAnsi="Arial" w:cs="Arial"/>
                <w:b/>
                <w:bCs/>
                <w:sz w:val="18"/>
                <w:szCs w:val="18"/>
              </w:rPr>
              <w:t>New alert rule</w:t>
            </w:r>
            <w:r w:rsidRPr="550D3B50">
              <w:rPr>
                <w:rFonts w:ascii="Arial" w:eastAsia="Arial" w:hAnsi="Arial" w:cs="Arial"/>
                <w:sz w:val="18"/>
                <w:szCs w:val="18"/>
              </w:rPr>
              <w:t xml:space="preserve"> of the </w:t>
            </w:r>
            <w:r w:rsidRPr="550D3B50">
              <w:rPr>
                <w:rFonts w:ascii="Arial" w:eastAsia="Arial" w:hAnsi="Arial" w:cs="Arial"/>
                <w:b/>
                <w:bCs/>
                <w:sz w:val="18"/>
                <w:szCs w:val="18"/>
              </w:rPr>
              <w:t>Alerts</w:t>
            </w:r>
            <w:r w:rsidRPr="550D3B50">
              <w:rPr>
                <w:rFonts w:ascii="Arial" w:eastAsia="Arial" w:hAnsi="Arial" w:cs="Arial"/>
                <w:sz w:val="18"/>
                <w:szCs w:val="18"/>
              </w:rPr>
              <w:t xml:space="preserve"> window</w:t>
            </w:r>
          </w:p>
          <w:p w14:paraId="4CCE85E0" w14:textId="2036526B"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Provide information in </w:t>
            </w:r>
            <w:r w:rsidRPr="550D3B50">
              <w:rPr>
                <w:rFonts w:ascii="Arial" w:eastAsia="Arial" w:hAnsi="Arial" w:cs="Arial"/>
                <w:b/>
                <w:bCs/>
                <w:sz w:val="18"/>
                <w:szCs w:val="18"/>
              </w:rPr>
              <w:t>Define alert condition</w:t>
            </w:r>
          </w:p>
          <w:p w14:paraId="6FD72C5A" w14:textId="38BB64FF"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Provide details in </w:t>
            </w:r>
            <w:r w:rsidRPr="550D3B50">
              <w:rPr>
                <w:rFonts w:ascii="Arial" w:eastAsia="Arial" w:hAnsi="Arial" w:cs="Arial"/>
                <w:b/>
                <w:bCs/>
                <w:sz w:val="18"/>
                <w:szCs w:val="18"/>
              </w:rPr>
              <w:t>Define alert details</w:t>
            </w:r>
          </w:p>
          <w:p w14:paraId="3E251D97" w14:textId="29EEA55B"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Specify action group for new alert rule under </w:t>
            </w:r>
            <w:r w:rsidRPr="550D3B50">
              <w:rPr>
                <w:rFonts w:ascii="Arial" w:eastAsia="Arial" w:hAnsi="Arial" w:cs="Arial"/>
                <w:b/>
                <w:bCs/>
                <w:sz w:val="18"/>
                <w:szCs w:val="18"/>
              </w:rPr>
              <w:t>Action group</w:t>
            </w:r>
            <w:r w:rsidRPr="550D3B50">
              <w:rPr>
                <w:rFonts w:ascii="Arial" w:eastAsia="Arial" w:hAnsi="Arial" w:cs="Arial"/>
                <w:sz w:val="18"/>
                <w:szCs w:val="18"/>
              </w:rPr>
              <w:t xml:space="preserve">, or create a new action group with + </w:t>
            </w:r>
            <w:r w:rsidRPr="550D3B50">
              <w:rPr>
                <w:rFonts w:ascii="Arial" w:eastAsia="Arial" w:hAnsi="Arial" w:cs="Arial"/>
                <w:b/>
                <w:bCs/>
                <w:sz w:val="18"/>
                <w:szCs w:val="18"/>
              </w:rPr>
              <w:t>New group</w:t>
            </w:r>
          </w:p>
          <w:p w14:paraId="551A7AB2" w14:textId="72ABDEEA"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Select </w:t>
            </w:r>
            <w:r w:rsidRPr="550D3B50">
              <w:rPr>
                <w:rFonts w:ascii="Arial" w:eastAsia="Arial" w:hAnsi="Arial" w:cs="Arial"/>
                <w:b/>
                <w:bCs/>
                <w:sz w:val="18"/>
                <w:szCs w:val="18"/>
              </w:rPr>
              <w:t>Yes</w:t>
            </w:r>
            <w:r w:rsidRPr="550D3B50">
              <w:rPr>
                <w:rFonts w:ascii="Arial" w:eastAsia="Arial" w:hAnsi="Arial" w:cs="Arial"/>
                <w:sz w:val="18"/>
                <w:szCs w:val="18"/>
              </w:rPr>
              <w:t xml:space="preserve"> for the </w:t>
            </w:r>
            <w:r w:rsidRPr="550D3B50">
              <w:rPr>
                <w:rFonts w:ascii="Arial" w:eastAsia="Arial" w:hAnsi="Arial" w:cs="Arial"/>
                <w:b/>
                <w:bCs/>
                <w:sz w:val="18"/>
                <w:szCs w:val="18"/>
              </w:rPr>
              <w:t>Enable rule upon creation</w:t>
            </w:r>
            <w:r w:rsidRPr="550D3B50">
              <w:rPr>
                <w:rFonts w:ascii="Arial" w:eastAsia="Arial" w:hAnsi="Arial" w:cs="Arial"/>
                <w:sz w:val="18"/>
                <w:szCs w:val="18"/>
              </w:rPr>
              <w:t xml:space="preserve"> option</w:t>
            </w:r>
          </w:p>
          <w:p w14:paraId="0D2D556D" w14:textId="2161EBF5" w:rsidR="1396BC19" w:rsidRDefault="1396BC19" w:rsidP="550D3B50">
            <w:pPr>
              <w:pStyle w:val="ListParagraph"/>
              <w:numPr>
                <w:ilvl w:val="0"/>
                <w:numId w:val="3"/>
              </w:numPr>
              <w:spacing w:after="160" w:line="259" w:lineRule="auto"/>
              <w:rPr>
                <w:rFonts w:eastAsiaTheme="minorEastAsia"/>
                <w:sz w:val="18"/>
                <w:szCs w:val="18"/>
              </w:rPr>
            </w:pPr>
            <w:r w:rsidRPr="550D3B50">
              <w:rPr>
                <w:rFonts w:ascii="Arial" w:eastAsia="Arial" w:hAnsi="Arial" w:cs="Arial"/>
                <w:sz w:val="18"/>
                <w:szCs w:val="18"/>
              </w:rPr>
              <w:t xml:space="preserve">Select </w:t>
            </w:r>
            <w:r w:rsidRPr="550D3B50">
              <w:rPr>
                <w:rFonts w:ascii="Arial" w:eastAsia="Arial" w:hAnsi="Arial" w:cs="Arial"/>
                <w:b/>
                <w:bCs/>
                <w:sz w:val="18"/>
                <w:szCs w:val="18"/>
              </w:rPr>
              <w:t>Create alert rule</w:t>
            </w:r>
          </w:p>
          <w:p w14:paraId="4B84C40C" w14:textId="2B64850B" w:rsidR="550D3B50" w:rsidRDefault="550D3B50" w:rsidP="550D3B50">
            <w:pPr>
              <w:spacing w:line="259" w:lineRule="auto"/>
              <w:rPr>
                <w:rFonts w:ascii="Arial" w:eastAsia="Arial" w:hAnsi="Arial" w:cs="Arial"/>
                <w:sz w:val="18"/>
                <w:szCs w:val="18"/>
              </w:rPr>
            </w:pPr>
          </w:p>
          <w:p w14:paraId="3727E816" w14:textId="468051E0" w:rsidR="1396BC19" w:rsidRDefault="1396BC19" w:rsidP="550D3B50">
            <w:pPr>
              <w:spacing w:line="259" w:lineRule="auto"/>
              <w:rPr>
                <w:rFonts w:ascii="Arial" w:eastAsia="Arial" w:hAnsi="Arial" w:cs="Arial"/>
                <w:sz w:val="18"/>
                <w:szCs w:val="18"/>
              </w:rPr>
            </w:pPr>
            <w:r w:rsidRPr="550D3B50">
              <w:rPr>
                <w:rFonts w:ascii="Arial" w:eastAsia="Arial" w:hAnsi="Arial" w:cs="Arial"/>
                <w:sz w:val="18"/>
                <w:szCs w:val="18"/>
              </w:rPr>
              <w:t>To view and manage alerts:</w:t>
            </w:r>
          </w:p>
          <w:p w14:paraId="627F4B55" w14:textId="71DD3EAF" w:rsidR="1396BC19" w:rsidRDefault="1396BC19" w:rsidP="550D3B50">
            <w:pPr>
              <w:pStyle w:val="ListParagraph"/>
              <w:numPr>
                <w:ilvl w:val="0"/>
                <w:numId w:val="2"/>
              </w:numPr>
              <w:spacing w:after="160" w:line="259" w:lineRule="auto"/>
              <w:rPr>
                <w:rFonts w:eastAsiaTheme="minorEastAsia"/>
                <w:sz w:val="18"/>
                <w:szCs w:val="18"/>
              </w:rPr>
            </w:pPr>
            <w:r w:rsidRPr="550D3B50">
              <w:rPr>
                <w:rFonts w:ascii="Arial" w:eastAsia="Arial" w:hAnsi="Arial" w:cs="Arial"/>
                <w:sz w:val="18"/>
                <w:szCs w:val="18"/>
              </w:rPr>
              <w:t xml:space="preserve">Select </w:t>
            </w:r>
            <w:r w:rsidRPr="550D3B50">
              <w:rPr>
                <w:rFonts w:ascii="Arial" w:eastAsia="Arial" w:hAnsi="Arial" w:cs="Arial"/>
                <w:b/>
                <w:bCs/>
                <w:sz w:val="18"/>
                <w:szCs w:val="18"/>
              </w:rPr>
              <w:t>Monitor -&gt; Alerts -&gt; Manage alert rules</w:t>
            </w:r>
          </w:p>
          <w:p w14:paraId="4982F11C" w14:textId="49E04C9D" w:rsidR="1396BC19" w:rsidRDefault="1396BC19" w:rsidP="550D3B50">
            <w:pPr>
              <w:pStyle w:val="ListParagraph"/>
              <w:numPr>
                <w:ilvl w:val="0"/>
                <w:numId w:val="2"/>
              </w:numPr>
              <w:spacing w:after="160" w:line="259" w:lineRule="auto"/>
              <w:rPr>
                <w:rFonts w:eastAsiaTheme="minorEastAsia"/>
                <w:sz w:val="18"/>
                <w:szCs w:val="18"/>
              </w:rPr>
            </w:pPr>
            <w:r w:rsidRPr="550D3B50">
              <w:rPr>
                <w:rFonts w:ascii="Arial" w:eastAsia="Arial" w:hAnsi="Arial" w:cs="Arial"/>
                <w:sz w:val="18"/>
                <w:szCs w:val="18"/>
              </w:rPr>
              <w:t>Select the rule you want to modify and double-click to edit the rule options</w:t>
            </w:r>
          </w:p>
          <w:p w14:paraId="18028020" w14:textId="59A0448A" w:rsidR="1396BC19" w:rsidRDefault="1396BC19" w:rsidP="550D3B50">
            <w:pPr>
              <w:pStyle w:val="ListParagraph"/>
              <w:numPr>
                <w:ilvl w:val="0"/>
                <w:numId w:val="2"/>
              </w:numPr>
              <w:spacing w:after="160" w:line="259" w:lineRule="auto"/>
              <w:rPr>
                <w:rFonts w:eastAsiaTheme="minorEastAsia"/>
                <w:sz w:val="18"/>
                <w:szCs w:val="18"/>
              </w:rPr>
            </w:pPr>
            <w:r w:rsidRPr="550D3B50">
              <w:rPr>
                <w:rFonts w:ascii="Arial" w:eastAsia="Arial" w:hAnsi="Arial" w:cs="Arial"/>
                <w:sz w:val="18"/>
                <w:szCs w:val="18"/>
              </w:rPr>
              <w:t xml:space="preserve">Click </w:t>
            </w:r>
            <w:r w:rsidRPr="550D3B50">
              <w:rPr>
                <w:rFonts w:ascii="Arial" w:eastAsia="Arial" w:hAnsi="Arial" w:cs="Arial"/>
                <w:b/>
                <w:bCs/>
                <w:sz w:val="18"/>
                <w:szCs w:val="18"/>
              </w:rPr>
              <w:t>Save</w:t>
            </w:r>
          </w:p>
        </w:tc>
      </w:tr>
      <w:tr w:rsidR="550D3B50" w14:paraId="60E02047" w14:textId="77777777" w:rsidTr="550D3B50">
        <w:tc>
          <w:tcPr>
            <w:tcW w:w="3435" w:type="dxa"/>
            <w:gridSpan w:val="2"/>
          </w:tcPr>
          <w:p w14:paraId="2CB29C26" w14:textId="5BAF7242" w:rsidR="57B9C924" w:rsidRDefault="57B9C924" w:rsidP="550D3B50">
            <w:pPr>
              <w:spacing w:line="259" w:lineRule="auto"/>
              <w:rPr>
                <w:rFonts w:ascii="Arial" w:eastAsia="Arial" w:hAnsi="Arial" w:cs="Arial"/>
                <w:sz w:val="18"/>
                <w:szCs w:val="18"/>
              </w:rPr>
            </w:pPr>
            <w:r w:rsidRPr="550D3B50">
              <w:rPr>
                <w:rFonts w:ascii="Arial" w:eastAsia="Arial" w:hAnsi="Arial" w:cs="Arial"/>
                <w:sz w:val="18"/>
                <w:szCs w:val="18"/>
              </w:rPr>
              <w:t>CASB</w:t>
            </w:r>
            <w:r w:rsidR="36E95359" w:rsidRPr="550D3B50">
              <w:rPr>
                <w:rFonts w:ascii="Arial" w:eastAsia="Arial" w:hAnsi="Arial" w:cs="Arial"/>
                <w:sz w:val="18"/>
                <w:szCs w:val="18"/>
              </w:rPr>
              <w:t xml:space="preserve"> (Cloud Access Security Broker)</w:t>
            </w:r>
          </w:p>
        </w:tc>
        <w:tc>
          <w:tcPr>
            <w:tcW w:w="5925" w:type="dxa"/>
          </w:tcPr>
          <w:p w14:paraId="6D3A14A1" w14:textId="1402C0BD" w:rsidR="57B9C924" w:rsidRDefault="57B9C924" w:rsidP="550D3B50">
            <w:pPr>
              <w:rPr>
                <w:rFonts w:ascii="Arial" w:eastAsia="Arial" w:hAnsi="Arial" w:cs="Arial"/>
                <w:sz w:val="18"/>
                <w:szCs w:val="18"/>
              </w:rPr>
            </w:pPr>
            <w:r w:rsidRPr="550D3B50">
              <w:rPr>
                <w:rFonts w:ascii="Arial" w:eastAsia="Arial" w:hAnsi="Arial" w:cs="Arial"/>
                <w:sz w:val="18"/>
                <w:szCs w:val="18"/>
              </w:rPr>
              <w:t>Consider employing a CASB to monitor access between SaaS accounts and AWS/Azure resources.</w:t>
            </w:r>
          </w:p>
        </w:tc>
      </w:tr>
    </w:tbl>
    <w:p w14:paraId="6052907E" w14:textId="09533BDB" w:rsidR="550D3B50" w:rsidRDefault="550D3B50"/>
    <w:p w14:paraId="20F9A4F5" w14:textId="7F2C057F" w:rsidR="550D3B50" w:rsidRDefault="550D3B50"/>
    <w:p w14:paraId="48A7E9AF" w14:textId="79E279B9" w:rsidR="6601C4F5" w:rsidRDefault="6601C4F5" w:rsidP="519E56D4">
      <w:pPr>
        <w:shd w:val="clear" w:color="auto" w:fill="FFFFFF" w:themeFill="background1"/>
        <w:spacing w:afterAutospacing="1"/>
        <w:rPr>
          <w:rFonts w:ascii="Arial" w:eastAsia="Arial" w:hAnsi="Arial" w:cs="Arial"/>
        </w:rPr>
      </w:pPr>
    </w:p>
    <w:p w14:paraId="2B49E2B5" w14:textId="46882EDB" w:rsidR="6601C4F5" w:rsidRDefault="6601C4F5" w:rsidP="74AF7419">
      <w:pPr>
        <w:shd w:val="clear" w:color="auto" w:fill="FFFFFF" w:themeFill="background1"/>
        <w:spacing w:afterAutospacing="1"/>
        <w:outlineLvl w:val="1"/>
        <w:rPr>
          <w:rFonts w:ascii="Arial" w:eastAsia="Arial" w:hAnsi="Arial" w:cs="Arial"/>
          <w:sz w:val="36"/>
          <w:szCs w:val="36"/>
        </w:rPr>
      </w:pPr>
      <w:bookmarkStart w:id="0" w:name="scite-1"/>
      <w:bookmarkStart w:id="1" w:name="scite-2"/>
      <w:bookmarkStart w:id="2" w:name="scite-3"/>
      <w:bookmarkEnd w:id="0"/>
      <w:bookmarkEnd w:id="1"/>
      <w:bookmarkEnd w:id="2"/>
      <w:r w:rsidRPr="74AF7419">
        <w:rPr>
          <w:rFonts w:ascii="Arial" w:eastAsia="Arial" w:hAnsi="Arial" w:cs="Arial"/>
          <w:sz w:val="32"/>
          <w:szCs w:val="32"/>
        </w:rPr>
        <w:t>References</w:t>
      </w:r>
    </w:p>
    <w:p w14:paraId="689922EE" w14:textId="5D666A84" w:rsidR="4507DD1D" w:rsidRDefault="00000000" w:rsidP="74AF7419">
      <w:pPr>
        <w:pStyle w:val="ListParagraph"/>
        <w:numPr>
          <w:ilvl w:val="0"/>
          <w:numId w:val="4"/>
        </w:numPr>
        <w:shd w:val="clear" w:color="auto" w:fill="FFFFFF" w:themeFill="background1"/>
        <w:spacing w:afterAutospacing="1"/>
        <w:outlineLvl w:val="1"/>
        <w:rPr>
          <w:rFonts w:eastAsiaTheme="minorEastAsia"/>
        </w:rPr>
      </w:pPr>
      <w:hyperlink r:id="rId10">
        <w:r w:rsidR="4507DD1D" w:rsidRPr="74AF7419">
          <w:rPr>
            <w:rStyle w:val="Hyperlink"/>
            <w:rFonts w:ascii="Arial" w:eastAsia="Arial" w:hAnsi="Arial" w:cs="Arial"/>
            <w:color w:val="auto"/>
          </w:rPr>
          <w:t>https://sonraisecurity.com/education/aws-azure-google-cloud-security-iam/</w:t>
        </w:r>
      </w:hyperlink>
      <w:r w:rsidR="4507DD1D" w:rsidRPr="74AF7419">
        <w:rPr>
          <w:rFonts w:ascii="Arial" w:eastAsia="Arial" w:hAnsi="Arial" w:cs="Arial"/>
        </w:rPr>
        <w:t>. Accessed July 27, 2020.</w:t>
      </w:r>
    </w:p>
    <w:p w14:paraId="4B94B346" w14:textId="1B549163" w:rsidR="2040E97B" w:rsidRDefault="00000000" w:rsidP="6DBA7D6E">
      <w:pPr>
        <w:pStyle w:val="ListParagraph"/>
        <w:numPr>
          <w:ilvl w:val="0"/>
          <w:numId w:val="4"/>
        </w:numPr>
        <w:shd w:val="clear" w:color="auto" w:fill="FFFFFF" w:themeFill="background1"/>
        <w:spacing w:afterAutospacing="1"/>
        <w:outlineLvl w:val="1"/>
        <w:rPr>
          <w:rFonts w:eastAsiaTheme="minorEastAsia"/>
        </w:rPr>
      </w:pPr>
      <w:hyperlink r:id="rId11">
        <w:r w:rsidR="2040E97B" w:rsidRPr="6DBA7D6E">
          <w:rPr>
            <w:rStyle w:val="Hyperlink"/>
            <w:rFonts w:ascii="Arial" w:eastAsia="Arial" w:hAnsi="Arial" w:cs="Arial"/>
            <w:color w:val="auto"/>
          </w:rPr>
          <w:t>https://devblogs.microsoft.com/azuregov/implementing-zero-trust-with-microsoft-azure-identity-and-access-management-1-of-6/</w:t>
        </w:r>
      </w:hyperlink>
      <w:r w:rsidR="2040E97B" w:rsidRPr="6DBA7D6E">
        <w:rPr>
          <w:rFonts w:ascii="Arial" w:eastAsia="Arial" w:hAnsi="Arial" w:cs="Arial"/>
        </w:rPr>
        <w:t>. Accessed July 27, 2020.</w:t>
      </w:r>
    </w:p>
    <w:p w14:paraId="08438593" w14:textId="74F06BF4" w:rsidR="1B7EFA00" w:rsidRDefault="1B7EFA00" w:rsidP="6DBA7D6E">
      <w:pPr>
        <w:pStyle w:val="ListParagraph"/>
        <w:numPr>
          <w:ilvl w:val="0"/>
          <w:numId w:val="4"/>
        </w:numPr>
        <w:shd w:val="clear" w:color="auto" w:fill="FFFFFF" w:themeFill="background1"/>
        <w:spacing w:afterAutospacing="1"/>
        <w:outlineLvl w:val="1"/>
      </w:pPr>
      <w:r w:rsidRPr="58FC5E7D">
        <w:rPr>
          <w:rFonts w:ascii="Arial" w:eastAsia="Arial" w:hAnsi="Arial" w:cs="Arial"/>
        </w:rPr>
        <w:t>https://cseweb.ucsd.edu/~savage/papers/CCS09.pdf. Accessed July 2, 2020.</w:t>
      </w:r>
    </w:p>
    <w:p w14:paraId="177BA540" w14:textId="408453A2" w:rsidR="76625552" w:rsidRDefault="76625552" w:rsidP="58FC5E7D">
      <w:pPr>
        <w:pStyle w:val="ListParagraph"/>
        <w:numPr>
          <w:ilvl w:val="0"/>
          <w:numId w:val="4"/>
        </w:numPr>
        <w:shd w:val="clear" w:color="auto" w:fill="FFFFFF" w:themeFill="background1"/>
        <w:spacing w:afterAutospacing="1"/>
        <w:outlineLvl w:val="1"/>
      </w:pPr>
      <w:r w:rsidRPr="58FC5E7D">
        <w:rPr>
          <w:rFonts w:ascii="Arial" w:eastAsia="Arial" w:hAnsi="Arial" w:cs="Arial"/>
        </w:rPr>
        <w:t xml:space="preserve">Wait a minute! A fast, Cross-VM attack on AES Gorka </w:t>
      </w:r>
      <w:proofErr w:type="spellStart"/>
      <w:r w:rsidRPr="58FC5E7D">
        <w:rPr>
          <w:rFonts w:ascii="Arial" w:eastAsia="Arial" w:hAnsi="Arial" w:cs="Arial"/>
        </w:rPr>
        <w:t>Irazoqui</w:t>
      </w:r>
      <w:proofErr w:type="spellEnd"/>
      <w:r w:rsidRPr="58FC5E7D">
        <w:rPr>
          <w:rFonts w:ascii="Arial" w:eastAsia="Arial" w:hAnsi="Arial" w:cs="Arial"/>
        </w:rPr>
        <w:t>, Mehmet Sinan Inci, Thomas Eisenbarth, and Berk Sunar Worcester Polytechnic Institute, Worcester, MA, USA – Accessed August 6,2020</w:t>
      </w:r>
    </w:p>
    <w:p w14:paraId="134F1065" w14:textId="57A3E534" w:rsidR="58FC5E7D" w:rsidRDefault="58FC5E7D" w:rsidP="58FC5E7D">
      <w:pPr>
        <w:shd w:val="clear" w:color="auto" w:fill="FFFFFF" w:themeFill="background1"/>
        <w:spacing w:afterAutospacing="1"/>
        <w:ind w:left="360"/>
        <w:outlineLvl w:val="1"/>
        <w:rPr>
          <w:rFonts w:ascii="Arial" w:eastAsia="Arial" w:hAnsi="Arial" w:cs="Arial"/>
        </w:rPr>
      </w:pPr>
    </w:p>
    <w:p w14:paraId="462917EF" w14:textId="2E580210" w:rsidR="6DBA7D6E" w:rsidRDefault="6DBA7D6E" w:rsidP="6DBA7D6E">
      <w:pPr>
        <w:shd w:val="clear" w:color="auto" w:fill="FFFFFF" w:themeFill="background1"/>
        <w:spacing w:afterAutospacing="1"/>
        <w:ind w:left="360"/>
        <w:outlineLvl w:val="1"/>
        <w:rPr>
          <w:rFonts w:ascii="Arial" w:eastAsia="Arial" w:hAnsi="Arial" w:cs="Arial"/>
        </w:rPr>
      </w:pPr>
    </w:p>
    <w:p w14:paraId="380BCAA6" w14:textId="77777777" w:rsidR="00000000" w:rsidRDefault="00000000" w:rsidP="519E56D4">
      <w:pPr>
        <w:rPr>
          <w:rFonts w:ascii="Arial" w:eastAsia="Arial" w:hAnsi="Arial" w:cs="Arial"/>
        </w:rPr>
      </w:pPr>
    </w:p>
    <w:sectPr w:rsidR="00D21A56" w:rsidSect="0002025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9DFE" w14:textId="77777777" w:rsidR="006D4247" w:rsidRDefault="006D4247" w:rsidP="008B27A5">
      <w:r>
        <w:separator/>
      </w:r>
    </w:p>
  </w:endnote>
  <w:endnote w:type="continuationSeparator" w:id="0">
    <w:p w14:paraId="34BD4F11" w14:textId="77777777" w:rsidR="006D4247" w:rsidRDefault="006D4247" w:rsidP="008B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B9DF" w14:textId="77777777" w:rsidR="008B27A5" w:rsidRDefault="008B2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0B5D" w14:textId="77777777" w:rsidR="00A444A0" w:rsidRPr="00A444A0" w:rsidRDefault="00A444A0" w:rsidP="00A444A0">
    <w:pPr>
      <w:pStyle w:val="Footer"/>
      <w:rPr>
        <w:rFonts w:ascii="Segoe UI" w:hAnsi="Segoe UI" w:cs="Segoe UI"/>
        <w:color w:val="000000"/>
        <w:sz w:val="27"/>
        <w:szCs w:val="27"/>
        <w:shd w:val="clear" w:color="auto" w:fill="FFFFFF"/>
      </w:rPr>
    </w:pPr>
    <w:r w:rsidRPr="00A444A0">
      <w:rPr>
        <w:rFonts w:ascii="Segoe UI" w:hAnsi="Segoe UI" w:cs="Segoe UI"/>
        <w:color w:val="000000"/>
        <w:sz w:val="27"/>
        <w:szCs w:val="27"/>
        <w:shd w:val="clear" w:color="auto" w:fill="FFFFFF"/>
      </w:rPr>
      <w:t>(© 2022 The MITRE Corporation All Rights Reserved. Draft Content</w:t>
    </w:r>
  </w:p>
  <w:p w14:paraId="521D60C7" w14:textId="333CB345" w:rsidR="008B27A5" w:rsidRDefault="00A444A0" w:rsidP="00A444A0">
    <w:pPr>
      <w:pStyle w:val="Footer"/>
    </w:pPr>
    <w:r w:rsidRPr="00A444A0">
      <w:rPr>
        <w:rFonts w:ascii="Segoe UI" w:hAnsi="Segoe UI" w:cs="Segoe UI"/>
        <w:color w:val="000000"/>
        <w:sz w:val="27"/>
        <w:szCs w:val="27"/>
        <w:shd w:val="clear" w:color="auto" w:fill="FFFFFF"/>
      </w:rPr>
      <w:t>Submission for Consideration by the CAVEAT Working Group)</w:t>
    </w:r>
  </w:p>
  <w:p w14:paraId="4155E913" w14:textId="77777777" w:rsidR="008B27A5" w:rsidRDefault="008B27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A176" w14:textId="77777777" w:rsidR="008B27A5" w:rsidRDefault="008B2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C046" w14:textId="77777777" w:rsidR="006D4247" w:rsidRDefault="006D4247" w:rsidP="008B27A5">
      <w:r>
        <w:separator/>
      </w:r>
    </w:p>
  </w:footnote>
  <w:footnote w:type="continuationSeparator" w:id="0">
    <w:p w14:paraId="31072CC7" w14:textId="77777777" w:rsidR="006D4247" w:rsidRDefault="006D4247" w:rsidP="008B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8FB9" w14:textId="77777777" w:rsidR="008B27A5" w:rsidRDefault="008B2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779A" w14:textId="77777777" w:rsidR="008B27A5" w:rsidRDefault="008B27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3AA5" w14:textId="77777777" w:rsidR="008B27A5" w:rsidRDefault="008B2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146"/>
    <w:multiLevelType w:val="multilevel"/>
    <w:tmpl w:val="07384E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34CA1"/>
    <w:multiLevelType w:val="multilevel"/>
    <w:tmpl w:val="1074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E5622C"/>
    <w:multiLevelType w:val="hybridMultilevel"/>
    <w:tmpl w:val="E21863B8"/>
    <w:lvl w:ilvl="0" w:tplc="218E908C">
      <w:start w:val="1"/>
      <w:numFmt w:val="decimal"/>
      <w:lvlText w:val="%1."/>
      <w:lvlJc w:val="left"/>
      <w:pPr>
        <w:ind w:left="720" w:hanging="360"/>
      </w:pPr>
    </w:lvl>
    <w:lvl w:ilvl="1" w:tplc="F6C206B4">
      <w:start w:val="1"/>
      <w:numFmt w:val="lowerLetter"/>
      <w:lvlText w:val="%2."/>
      <w:lvlJc w:val="left"/>
      <w:pPr>
        <w:ind w:left="1440" w:hanging="360"/>
      </w:pPr>
    </w:lvl>
    <w:lvl w:ilvl="2" w:tplc="8ED2A2E2">
      <w:start w:val="1"/>
      <w:numFmt w:val="lowerRoman"/>
      <w:lvlText w:val="%3."/>
      <w:lvlJc w:val="right"/>
      <w:pPr>
        <w:ind w:left="2160" w:hanging="180"/>
      </w:pPr>
    </w:lvl>
    <w:lvl w:ilvl="3" w:tplc="3EF6E6C6">
      <w:start w:val="1"/>
      <w:numFmt w:val="decimal"/>
      <w:lvlText w:val="%4."/>
      <w:lvlJc w:val="left"/>
      <w:pPr>
        <w:ind w:left="2880" w:hanging="360"/>
      </w:pPr>
    </w:lvl>
    <w:lvl w:ilvl="4" w:tplc="E3E2E408">
      <w:start w:val="1"/>
      <w:numFmt w:val="lowerLetter"/>
      <w:lvlText w:val="%5."/>
      <w:lvlJc w:val="left"/>
      <w:pPr>
        <w:ind w:left="3600" w:hanging="360"/>
      </w:pPr>
    </w:lvl>
    <w:lvl w:ilvl="5" w:tplc="C96A8814">
      <w:start w:val="1"/>
      <w:numFmt w:val="lowerRoman"/>
      <w:lvlText w:val="%6."/>
      <w:lvlJc w:val="right"/>
      <w:pPr>
        <w:ind w:left="4320" w:hanging="180"/>
      </w:pPr>
    </w:lvl>
    <w:lvl w:ilvl="6" w:tplc="CDB64E4A">
      <w:start w:val="1"/>
      <w:numFmt w:val="decimal"/>
      <w:lvlText w:val="%7."/>
      <w:lvlJc w:val="left"/>
      <w:pPr>
        <w:ind w:left="5040" w:hanging="360"/>
      </w:pPr>
    </w:lvl>
    <w:lvl w:ilvl="7" w:tplc="04CEB62C">
      <w:start w:val="1"/>
      <w:numFmt w:val="lowerLetter"/>
      <w:lvlText w:val="%8."/>
      <w:lvlJc w:val="left"/>
      <w:pPr>
        <w:ind w:left="5760" w:hanging="360"/>
      </w:pPr>
    </w:lvl>
    <w:lvl w:ilvl="8" w:tplc="4E80FE92">
      <w:start w:val="1"/>
      <w:numFmt w:val="lowerRoman"/>
      <w:lvlText w:val="%9."/>
      <w:lvlJc w:val="right"/>
      <w:pPr>
        <w:ind w:left="6480" w:hanging="180"/>
      </w:pPr>
    </w:lvl>
  </w:abstractNum>
  <w:abstractNum w:abstractNumId="3" w15:restartNumberingAfterBreak="0">
    <w:nsid w:val="61CE7347"/>
    <w:multiLevelType w:val="hybridMultilevel"/>
    <w:tmpl w:val="6CA20914"/>
    <w:lvl w:ilvl="0" w:tplc="7EFAA8B6">
      <w:start w:val="1"/>
      <w:numFmt w:val="decimal"/>
      <w:lvlText w:val="%1."/>
      <w:lvlJc w:val="left"/>
      <w:pPr>
        <w:ind w:left="720" w:hanging="360"/>
      </w:pPr>
    </w:lvl>
    <w:lvl w:ilvl="1" w:tplc="B9301E74">
      <w:start w:val="1"/>
      <w:numFmt w:val="lowerLetter"/>
      <w:lvlText w:val="%2."/>
      <w:lvlJc w:val="left"/>
      <w:pPr>
        <w:ind w:left="1440" w:hanging="360"/>
      </w:pPr>
    </w:lvl>
    <w:lvl w:ilvl="2" w:tplc="BCEC3644">
      <w:start w:val="1"/>
      <w:numFmt w:val="lowerRoman"/>
      <w:lvlText w:val="%3."/>
      <w:lvlJc w:val="right"/>
      <w:pPr>
        <w:ind w:left="2160" w:hanging="180"/>
      </w:pPr>
    </w:lvl>
    <w:lvl w:ilvl="3" w:tplc="5BBA825C">
      <w:start w:val="1"/>
      <w:numFmt w:val="decimal"/>
      <w:lvlText w:val="%4."/>
      <w:lvlJc w:val="left"/>
      <w:pPr>
        <w:ind w:left="2880" w:hanging="360"/>
      </w:pPr>
    </w:lvl>
    <w:lvl w:ilvl="4" w:tplc="82E4DA56">
      <w:start w:val="1"/>
      <w:numFmt w:val="lowerLetter"/>
      <w:lvlText w:val="%5."/>
      <w:lvlJc w:val="left"/>
      <w:pPr>
        <w:ind w:left="3600" w:hanging="360"/>
      </w:pPr>
    </w:lvl>
    <w:lvl w:ilvl="5" w:tplc="973ECCF6">
      <w:start w:val="1"/>
      <w:numFmt w:val="lowerRoman"/>
      <w:lvlText w:val="%6."/>
      <w:lvlJc w:val="right"/>
      <w:pPr>
        <w:ind w:left="4320" w:hanging="180"/>
      </w:pPr>
    </w:lvl>
    <w:lvl w:ilvl="6" w:tplc="9A6459A2">
      <w:start w:val="1"/>
      <w:numFmt w:val="decimal"/>
      <w:lvlText w:val="%7."/>
      <w:lvlJc w:val="left"/>
      <w:pPr>
        <w:ind w:left="5040" w:hanging="360"/>
      </w:pPr>
    </w:lvl>
    <w:lvl w:ilvl="7" w:tplc="FD9AC12E">
      <w:start w:val="1"/>
      <w:numFmt w:val="lowerLetter"/>
      <w:lvlText w:val="%8."/>
      <w:lvlJc w:val="left"/>
      <w:pPr>
        <w:ind w:left="5760" w:hanging="360"/>
      </w:pPr>
    </w:lvl>
    <w:lvl w:ilvl="8" w:tplc="9064AF84">
      <w:start w:val="1"/>
      <w:numFmt w:val="lowerRoman"/>
      <w:lvlText w:val="%9."/>
      <w:lvlJc w:val="right"/>
      <w:pPr>
        <w:ind w:left="6480" w:hanging="180"/>
      </w:pPr>
    </w:lvl>
  </w:abstractNum>
  <w:abstractNum w:abstractNumId="4" w15:restartNumberingAfterBreak="0">
    <w:nsid w:val="62F52664"/>
    <w:multiLevelType w:val="hybridMultilevel"/>
    <w:tmpl w:val="0AF6D47E"/>
    <w:lvl w:ilvl="0" w:tplc="93941704">
      <w:start w:val="1"/>
      <w:numFmt w:val="decimal"/>
      <w:lvlText w:val="%1."/>
      <w:lvlJc w:val="left"/>
      <w:pPr>
        <w:ind w:left="720" w:hanging="360"/>
      </w:pPr>
    </w:lvl>
    <w:lvl w:ilvl="1" w:tplc="69D0B98E">
      <w:start w:val="1"/>
      <w:numFmt w:val="lowerLetter"/>
      <w:lvlText w:val="%2."/>
      <w:lvlJc w:val="left"/>
      <w:pPr>
        <w:ind w:left="1440" w:hanging="360"/>
      </w:pPr>
    </w:lvl>
    <w:lvl w:ilvl="2" w:tplc="229C1430">
      <w:start w:val="1"/>
      <w:numFmt w:val="lowerRoman"/>
      <w:lvlText w:val="%3."/>
      <w:lvlJc w:val="right"/>
      <w:pPr>
        <w:ind w:left="2160" w:hanging="180"/>
      </w:pPr>
    </w:lvl>
    <w:lvl w:ilvl="3" w:tplc="C506150E">
      <w:start w:val="1"/>
      <w:numFmt w:val="decimal"/>
      <w:lvlText w:val="%4."/>
      <w:lvlJc w:val="left"/>
      <w:pPr>
        <w:ind w:left="2880" w:hanging="360"/>
      </w:pPr>
    </w:lvl>
    <w:lvl w:ilvl="4" w:tplc="3994444A">
      <w:start w:val="1"/>
      <w:numFmt w:val="lowerLetter"/>
      <w:lvlText w:val="%5."/>
      <w:lvlJc w:val="left"/>
      <w:pPr>
        <w:ind w:left="3600" w:hanging="360"/>
      </w:pPr>
    </w:lvl>
    <w:lvl w:ilvl="5" w:tplc="61B85AB2">
      <w:start w:val="1"/>
      <w:numFmt w:val="lowerRoman"/>
      <w:lvlText w:val="%6."/>
      <w:lvlJc w:val="right"/>
      <w:pPr>
        <w:ind w:left="4320" w:hanging="180"/>
      </w:pPr>
    </w:lvl>
    <w:lvl w:ilvl="6" w:tplc="D2B282E0">
      <w:start w:val="1"/>
      <w:numFmt w:val="decimal"/>
      <w:lvlText w:val="%7."/>
      <w:lvlJc w:val="left"/>
      <w:pPr>
        <w:ind w:left="5040" w:hanging="360"/>
      </w:pPr>
    </w:lvl>
    <w:lvl w:ilvl="7" w:tplc="419A0D66">
      <w:start w:val="1"/>
      <w:numFmt w:val="lowerLetter"/>
      <w:lvlText w:val="%8."/>
      <w:lvlJc w:val="left"/>
      <w:pPr>
        <w:ind w:left="5760" w:hanging="360"/>
      </w:pPr>
    </w:lvl>
    <w:lvl w:ilvl="8" w:tplc="6A72F948">
      <w:start w:val="1"/>
      <w:numFmt w:val="lowerRoman"/>
      <w:lvlText w:val="%9."/>
      <w:lvlJc w:val="right"/>
      <w:pPr>
        <w:ind w:left="6480" w:hanging="180"/>
      </w:pPr>
    </w:lvl>
  </w:abstractNum>
  <w:abstractNum w:abstractNumId="5" w15:restartNumberingAfterBreak="0">
    <w:nsid w:val="65A36D16"/>
    <w:multiLevelType w:val="hybridMultilevel"/>
    <w:tmpl w:val="6D748586"/>
    <w:lvl w:ilvl="0" w:tplc="F2C621D4">
      <w:start w:val="1"/>
      <w:numFmt w:val="decimal"/>
      <w:lvlText w:val="%1."/>
      <w:lvlJc w:val="left"/>
      <w:pPr>
        <w:ind w:left="720" w:hanging="360"/>
      </w:pPr>
    </w:lvl>
    <w:lvl w:ilvl="1" w:tplc="39525C74">
      <w:start w:val="1"/>
      <w:numFmt w:val="lowerLetter"/>
      <w:lvlText w:val="%2."/>
      <w:lvlJc w:val="left"/>
      <w:pPr>
        <w:ind w:left="1440" w:hanging="360"/>
      </w:pPr>
    </w:lvl>
    <w:lvl w:ilvl="2" w:tplc="6930EE7A">
      <w:start w:val="1"/>
      <w:numFmt w:val="lowerRoman"/>
      <w:lvlText w:val="%3."/>
      <w:lvlJc w:val="right"/>
      <w:pPr>
        <w:ind w:left="2160" w:hanging="180"/>
      </w:pPr>
    </w:lvl>
    <w:lvl w:ilvl="3" w:tplc="5A02519E">
      <w:start w:val="1"/>
      <w:numFmt w:val="decimal"/>
      <w:lvlText w:val="%4."/>
      <w:lvlJc w:val="left"/>
      <w:pPr>
        <w:ind w:left="2880" w:hanging="360"/>
      </w:pPr>
    </w:lvl>
    <w:lvl w:ilvl="4" w:tplc="A4C236B0">
      <w:start w:val="1"/>
      <w:numFmt w:val="lowerLetter"/>
      <w:lvlText w:val="%5."/>
      <w:lvlJc w:val="left"/>
      <w:pPr>
        <w:ind w:left="3600" w:hanging="360"/>
      </w:pPr>
    </w:lvl>
    <w:lvl w:ilvl="5" w:tplc="8886DF72">
      <w:start w:val="1"/>
      <w:numFmt w:val="lowerRoman"/>
      <w:lvlText w:val="%6."/>
      <w:lvlJc w:val="right"/>
      <w:pPr>
        <w:ind w:left="4320" w:hanging="180"/>
      </w:pPr>
    </w:lvl>
    <w:lvl w:ilvl="6" w:tplc="DA1CF6E4">
      <w:start w:val="1"/>
      <w:numFmt w:val="decimal"/>
      <w:lvlText w:val="%7."/>
      <w:lvlJc w:val="left"/>
      <w:pPr>
        <w:ind w:left="5040" w:hanging="360"/>
      </w:pPr>
    </w:lvl>
    <w:lvl w:ilvl="7" w:tplc="2432FAF0">
      <w:start w:val="1"/>
      <w:numFmt w:val="lowerLetter"/>
      <w:lvlText w:val="%8."/>
      <w:lvlJc w:val="left"/>
      <w:pPr>
        <w:ind w:left="5760" w:hanging="360"/>
      </w:pPr>
    </w:lvl>
    <w:lvl w:ilvl="8" w:tplc="7BB67890">
      <w:start w:val="1"/>
      <w:numFmt w:val="lowerRoman"/>
      <w:lvlText w:val="%9."/>
      <w:lvlJc w:val="right"/>
      <w:pPr>
        <w:ind w:left="6480" w:hanging="180"/>
      </w:pPr>
    </w:lvl>
  </w:abstractNum>
  <w:num w:numId="1" w16cid:durableId="415790241">
    <w:abstractNumId w:val="2"/>
  </w:num>
  <w:num w:numId="2" w16cid:durableId="1862209153">
    <w:abstractNumId w:val="5"/>
  </w:num>
  <w:num w:numId="3" w16cid:durableId="1629123858">
    <w:abstractNumId w:val="4"/>
  </w:num>
  <w:num w:numId="4" w16cid:durableId="1396393750">
    <w:abstractNumId w:val="3"/>
  </w:num>
  <w:num w:numId="5" w16cid:durableId="512842819">
    <w:abstractNumId w:val="1"/>
  </w:num>
  <w:num w:numId="6" w16cid:durableId="108503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68"/>
    <w:rsid w:val="00020259"/>
    <w:rsid w:val="006D4247"/>
    <w:rsid w:val="008B27A5"/>
    <w:rsid w:val="00A444A0"/>
    <w:rsid w:val="00A6505C"/>
    <w:rsid w:val="00C74E68"/>
    <w:rsid w:val="00FC3B21"/>
    <w:rsid w:val="01315B3C"/>
    <w:rsid w:val="025DEA03"/>
    <w:rsid w:val="030CFBBA"/>
    <w:rsid w:val="03E1EA90"/>
    <w:rsid w:val="03EDA854"/>
    <w:rsid w:val="041599F8"/>
    <w:rsid w:val="054C5AE7"/>
    <w:rsid w:val="07650549"/>
    <w:rsid w:val="080A4A9F"/>
    <w:rsid w:val="097F59EE"/>
    <w:rsid w:val="0AD21CF8"/>
    <w:rsid w:val="0C9B7002"/>
    <w:rsid w:val="0DE49439"/>
    <w:rsid w:val="0DF2185D"/>
    <w:rsid w:val="0DFD5764"/>
    <w:rsid w:val="0EAA6942"/>
    <w:rsid w:val="0EDF15A7"/>
    <w:rsid w:val="0F75DA7F"/>
    <w:rsid w:val="129A2A24"/>
    <w:rsid w:val="12EA6D07"/>
    <w:rsid w:val="1396BC19"/>
    <w:rsid w:val="13EEE146"/>
    <w:rsid w:val="13FE83E3"/>
    <w:rsid w:val="14EF2825"/>
    <w:rsid w:val="15D717DB"/>
    <w:rsid w:val="172E9CDD"/>
    <w:rsid w:val="17876029"/>
    <w:rsid w:val="18830EE6"/>
    <w:rsid w:val="1945FD3C"/>
    <w:rsid w:val="198529A1"/>
    <w:rsid w:val="19EA3AC1"/>
    <w:rsid w:val="1ACE57BA"/>
    <w:rsid w:val="1B7EFA00"/>
    <w:rsid w:val="1BDE1202"/>
    <w:rsid w:val="1C304334"/>
    <w:rsid w:val="1C644693"/>
    <w:rsid w:val="1CD85652"/>
    <w:rsid w:val="1CEF4807"/>
    <w:rsid w:val="1D5C54F3"/>
    <w:rsid w:val="1EB2C21E"/>
    <w:rsid w:val="1F16A86B"/>
    <w:rsid w:val="1FE2C4B5"/>
    <w:rsid w:val="2040E97B"/>
    <w:rsid w:val="20C31D21"/>
    <w:rsid w:val="2111132A"/>
    <w:rsid w:val="2213ED16"/>
    <w:rsid w:val="2324BB13"/>
    <w:rsid w:val="242B0766"/>
    <w:rsid w:val="24F10FB7"/>
    <w:rsid w:val="24F78721"/>
    <w:rsid w:val="25D4FF0C"/>
    <w:rsid w:val="26562207"/>
    <w:rsid w:val="269EBA0B"/>
    <w:rsid w:val="26F58D7E"/>
    <w:rsid w:val="26FBE704"/>
    <w:rsid w:val="2701359C"/>
    <w:rsid w:val="275FA1A3"/>
    <w:rsid w:val="27878613"/>
    <w:rsid w:val="28F42B09"/>
    <w:rsid w:val="29190317"/>
    <w:rsid w:val="2BC09673"/>
    <w:rsid w:val="2DF11A84"/>
    <w:rsid w:val="2E25159F"/>
    <w:rsid w:val="2FE6BBDF"/>
    <w:rsid w:val="309198C5"/>
    <w:rsid w:val="313BF3BE"/>
    <w:rsid w:val="31950872"/>
    <w:rsid w:val="324E88B1"/>
    <w:rsid w:val="33C99416"/>
    <w:rsid w:val="3625C1B0"/>
    <w:rsid w:val="36E95359"/>
    <w:rsid w:val="372D0E48"/>
    <w:rsid w:val="37ECFBD8"/>
    <w:rsid w:val="39C095EE"/>
    <w:rsid w:val="3B081A20"/>
    <w:rsid w:val="3B2B37A6"/>
    <w:rsid w:val="3D30AD81"/>
    <w:rsid w:val="3D6C1FFC"/>
    <w:rsid w:val="3E5F9A4F"/>
    <w:rsid w:val="3F22CCE1"/>
    <w:rsid w:val="3F53AE74"/>
    <w:rsid w:val="40F70CB3"/>
    <w:rsid w:val="4145E90D"/>
    <w:rsid w:val="419A6B98"/>
    <w:rsid w:val="4507DD1D"/>
    <w:rsid w:val="459815E0"/>
    <w:rsid w:val="4685679F"/>
    <w:rsid w:val="473E67B0"/>
    <w:rsid w:val="47E6B7C8"/>
    <w:rsid w:val="4866CD4C"/>
    <w:rsid w:val="4A924FDA"/>
    <w:rsid w:val="4A9DD97C"/>
    <w:rsid w:val="4CD7E339"/>
    <w:rsid w:val="4DC51CAB"/>
    <w:rsid w:val="4E44F61A"/>
    <w:rsid w:val="4EA52AB7"/>
    <w:rsid w:val="4FA07B83"/>
    <w:rsid w:val="50AB25AA"/>
    <w:rsid w:val="50E080BA"/>
    <w:rsid w:val="519E56D4"/>
    <w:rsid w:val="53991EE3"/>
    <w:rsid w:val="53F416E8"/>
    <w:rsid w:val="543F063E"/>
    <w:rsid w:val="54745750"/>
    <w:rsid w:val="550D3B50"/>
    <w:rsid w:val="55B167AF"/>
    <w:rsid w:val="55CA2475"/>
    <w:rsid w:val="5699DDDA"/>
    <w:rsid w:val="56B0BBB5"/>
    <w:rsid w:val="56D9C928"/>
    <w:rsid w:val="579FAA21"/>
    <w:rsid w:val="57B9C924"/>
    <w:rsid w:val="58FC5E7D"/>
    <w:rsid w:val="5997821A"/>
    <w:rsid w:val="599AE950"/>
    <w:rsid w:val="5A1486A4"/>
    <w:rsid w:val="5A736928"/>
    <w:rsid w:val="5A81FEC3"/>
    <w:rsid w:val="5B203036"/>
    <w:rsid w:val="5B4F69DF"/>
    <w:rsid w:val="5BF70F66"/>
    <w:rsid w:val="5CB046DB"/>
    <w:rsid w:val="5CDC40E1"/>
    <w:rsid w:val="5E9A241E"/>
    <w:rsid w:val="5EBFD1B6"/>
    <w:rsid w:val="5ED4CB09"/>
    <w:rsid w:val="5F6FB4C3"/>
    <w:rsid w:val="60F0A384"/>
    <w:rsid w:val="61C4969B"/>
    <w:rsid w:val="6220DA64"/>
    <w:rsid w:val="62B044BF"/>
    <w:rsid w:val="62CA2554"/>
    <w:rsid w:val="62E6DD8E"/>
    <w:rsid w:val="6312ADFA"/>
    <w:rsid w:val="65113C4D"/>
    <w:rsid w:val="654E3B48"/>
    <w:rsid w:val="65B2A888"/>
    <w:rsid w:val="6601C4F5"/>
    <w:rsid w:val="66C29EA1"/>
    <w:rsid w:val="6706522C"/>
    <w:rsid w:val="681C0A06"/>
    <w:rsid w:val="689D0D1C"/>
    <w:rsid w:val="68C2B628"/>
    <w:rsid w:val="68EA0221"/>
    <w:rsid w:val="6932EF32"/>
    <w:rsid w:val="69F266BA"/>
    <w:rsid w:val="6A5FE0A7"/>
    <w:rsid w:val="6AF6381D"/>
    <w:rsid w:val="6C484057"/>
    <w:rsid w:val="6CFE5FAC"/>
    <w:rsid w:val="6D98DABE"/>
    <w:rsid w:val="6DBA7D6E"/>
    <w:rsid w:val="6DDF90FE"/>
    <w:rsid w:val="70CC3F9F"/>
    <w:rsid w:val="7218B617"/>
    <w:rsid w:val="72914CE5"/>
    <w:rsid w:val="72F36CAD"/>
    <w:rsid w:val="7388ECE6"/>
    <w:rsid w:val="745268EF"/>
    <w:rsid w:val="74AF7419"/>
    <w:rsid w:val="74FD802D"/>
    <w:rsid w:val="76625552"/>
    <w:rsid w:val="76B21A0F"/>
    <w:rsid w:val="76ECA7D4"/>
    <w:rsid w:val="77AD55A8"/>
    <w:rsid w:val="77B51F33"/>
    <w:rsid w:val="78F758A9"/>
    <w:rsid w:val="7A12FA7B"/>
    <w:rsid w:val="7BEB57B2"/>
    <w:rsid w:val="7C2535C8"/>
    <w:rsid w:val="7C28D91E"/>
    <w:rsid w:val="7CD2C527"/>
    <w:rsid w:val="7D3D17AC"/>
    <w:rsid w:val="7E6D76B5"/>
    <w:rsid w:val="7E91CEBE"/>
    <w:rsid w:val="7F019CC6"/>
    <w:rsid w:val="7F0B7803"/>
    <w:rsid w:val="7F65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FAB41"/>
  <w15:chartTrackingRefBased/>
  <w15:docId w15:val="{5C3724D9-2EB8-4245-8126-24513EA9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E6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E6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E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E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E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74E68"/>
    <w:rPr>
      <w:color w:val="0000FF"/>
      <w:u w:val="single"/>
    </w:rPr>
  </w:style>
  <w:style w:type="character" w:customStyle="1" w:styleId="h5">
    <w:name w:val="h5"/>
    <w:basedOn w:val="DefaultParagraphFont"/>
    <w:rsid w:val="00C74E68"/>
  </w:style>
  <w:style w:type="character" w:customStyle="1" w:styleId="scite-citeref-number">
    <w:name w:val="scite-citeref-number"/>
    <w:basedOn w:val="DefaultParagraphFont"/>
    <w:rsid w:val="00C74E68"/>
  </w:style>
  <w:style w:type="character" w:customStyle="1" w:styleId="scite-citation-text">
    <w:name w:val="scite-citation-text"/>
    <w:basedOn w:val="DefaultParagraphFont"/>
    <w:rsid w:val="00C74E6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B27A5"/>
    <w:pPr>
      <w:tabs>
        <w:tab w:val="center" w:pos="4680"/>
        <w:tab w:val="right" w:pos="9360"/>
      </w:tabs>
    </w:pPr>
  </w:style>
  <w:style w:type="character" w:customStyle="1" w:styleId="HeaderChar">
    <w:name w:val="Header Char"/>
    <w:basedOn w:val="DefaultParagraphFont"/>
    <w:link w:val="Header"/>
    <w:uiPriority w:val="99"/>
    <w:rsid w:val="008B27A5"/>
  </w:style>
  <w:style w:type="paragraph" w:styleId="Footer">
    <w:name w:val="footer"/>
    <w:basedOn w:val="Normal"/>
    <w:link w:val="FooterChar"/>
    <w:uiPriority w:val="99"/>
    <w:unhideWhenUsed/>
    <w:rsid w:val="008B27A5"/>
    <w:pPr>
      <w:tabs>
        <w:tab w:val="center" w:pos="4680"/>
        <w:tab w:val="right" w:pos="9360"/>
      </w:tabs>
    </w:pPr>
  </w:style>
  <w:style w:type="character" w:customStyle="1" w:styleId="FooterChar">
    <w:name w:val="Footer Char"/>
    <w:basedOn w:val="DefaultParagraphFont"/>
    <w:link w:val="Footer"/>
    <w:uiPriority w:val="99"/>
    <w:rsid w:val="008B2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12271">
      <w:bodyDiv w:val="1"/>
      <w:marLeft w:val="0"/>
      <w:marRight w:val="0"/>
      <w:marTop w:val="0"/>
      <w:marBottom w:val="0"/>
      <w:divBdr>
        <w:top w:val="none" w:sz="0" w:space="0" w:color="auto"/>
        <w:left w:val="none" w:sz="0" w:space="0" w:color="auto"/>
        <w:bottom w:val="none" w:sz="0" w:space="0" w:color="auto"/>
        <w:right w:val="none" w:sz="0" w:space="0" w:color="auto"/>
      </w:divBdr>
    </w:div>
    <w:div w:id="1452626410">
      <w:bodyDiv w:val="1"/>
      <w:marLeft w:val="0"/>
      <w:marRight w:val="0"/>
      <w:marTop w:val="0"/>
      <w:marBottom w:val="0"/>
      <w:divBdr>
        <w:top w:val="none" w:sz="0" w:space="0" w:color="auto"/>
        <w:left w:val="none" w:sz="0" w:space="0" w:color="auto"/>
        <w:bottom w:val="none" w:sz="0" w:space="0" w:color="auto"/>
        <w:right w:val="none" w:sz="0" w:space="0" w:color="auto"/>
      </w:divBdr>
      <w:divsChild>
        <w:div w:id="890579515">
          <w:marLeft w:val="-225"/>
          <w:marRight w:val="-225"/>
          <w:marTop w:val="0"/>
          <w:marBottom w:val="0"/>
          <w:divBdr>
            <w:top w:val="none" w:sz="0" w:space="0" w:color="auto"/>
            <w:left w:val="none" w:sz="0" w:space="0" w:color="auto"/>
            <w:bottom w:val="none" w:sz="0" w:space="0" w:color="auto"/>
            <w:right w:val="none" w:sz="0" w:space="0" w:color="auto"/>
          </w:divBdr>
          <w:divsChild>
            <w:div w:id="1217159738">
              <w:marLeft w:val="0"/>
              <w:marRight w:val="0"/>
              <w:marTop w:val="0"/>
              <w:marBottom w:val="0"/>
              <w:divBdr>
                <w:top w:val="none" w:sz="0" w:space="0" w:color="auto"/>
                <w:left w:val="none" w:sz="0" w:space="0" w:color="auto"/>
                <w:bottom w:val="none" w:sz="0" w:space="0" w:color="auto"/>
                <w:right w:val="none" w:sz="0" w:space="0" w:color="auto"/>
              </w:divBdr>
            </w:div>
            <w:div w:id="1270350786">
              <w:marLeft w:val="0"/>
              <w:marRight w:val="0"/>
              <w:marTop w:val="0"/>
              <w:marBottom w:val="0"/>
              <w:divBdr>
                <w:top w:val="none" w:sz="0" w:space="0" w:color="auto"/>
                <w:left w:val="none" w:sz="0" w:space="0" w:color="auto"/>
                <w:bottom w:val="none" w:sz="0" w:space="0" w:color="auto"/>
                <w:right w:val="none" w:sz="0" w:space="0" w:color="auto"/>
              </w:divBdr>
              <w:divsChild>
                <w:div w:id="1115519310">
                  <w:marLeft w:val="0"/>
                  <w:marRight w:val="0"/>
                  <w:marTop w:val="0"/>
                  <w:marBottom w:val="0"/>
                  <w:divBdr>
                    <w:top w:val="single" w:sz="6" w:space="0" w:color="DFDFDF"/>
                    <w:left w:val="single" w:sz="6" w:space="0" w:color="DFDFDF"/>
                    <w:bottom w:val="single" w:sz="6" w:space="0" w:color="DFDFDF"/>
                    <w:right w:val="single" w:sz="6" w:space="0" w:color="DFDFDF"/>
                  </w:divBdr>
                  <w:divsChild>
                    <w:div w:id="182745909">
                      <w:marLeft w:val="0"/>
                      <w:marRight w:val="0"/>
                      <w:marTop w:val="0"/>
                      <w:marBottom w:val="0"/>
                      <w:divBdr>
                        <w:top w:val="none" w:sz="0" w:space="0" w:color="auto"/>
                        <w:left w:val="none" w:sz="0" w:space="0" w:color="auto"/>
                        <w:bottom w:val="none" w:sz="0" w:space="0" w:color="auto"/>
                        <w:right w:val="none" w:sz="0" w:space="0" w:color="auto"/>
                      </w:divBdr>
                      <w:divsChild>
                        <w:div w:id="2100052554">
                          <w:marLeft w:val="0"/>
                          <w:marRight w:val="0"/>
                          <w:marTop w:val="0"/>
                          <w:marBottom w:val="0"/>
                          <w:divBdr>
                            <w:top w:val="none" w:sz="0" w:space="0" w:color="auto"/>
                            <w:left w:val="none" w:sz="0" w:space="0" w:color="auto"/>
                            <w:bottom w:val="none" w:sz="0" w:space="0" w:color="auto"/>
                            <w:right w:val="none" w:sz="0" w:space="0" w:color="auto"/>
                          </w:divBdr>
                        </w:div>
                        <w:div w:id="1006324840">
                          <w:marLeft w:val="0"/>
                          <w:marRight w:val="0"/>
                          <w:marTop w:val="0"/>
                          <w:marBottom w:val="0"/>
                          <w:divBdr>
                            <w:top w:val="none" w:sz="0" w:space="0" w:color="auto"/>
                            <w:left w:val="none" w:sz="0" w:space="0" w:color="auto"/>
                            <w:bottom w:val="none" w:sz="0" w:space="0" w:color="auto"/>
                            <w:right w:val="none" w:sz="0" w:space="0" w:color="auto"/>
                          </w:divBdr>
                        </w:div>
                        <w:div w:id="1161389834">
                          <w:marLeft w:val="0"/>
                          <w:marRight w:val="0"/>
                          <w:marTop w:val="0"/>
                          <w:marBottom w:val="0"/>
                          <w:divBdr>
                            <w:top w:val="none" w:sz="0" w:space="0" w:color="auto"/>
                            <w:left w:val="none" w:sz="0" w:space="0" w:color="auto"/>
                            <w:bottom w:val="none" w:sz="0" w:space="0" w:color="auto"/>
                            <w:right w:val="none" w:sz="0" w:space="0" w:color="auto"/>
                          </w:divBdr>
                        </w:div>
                        <w:div w:id="532617910">
                          <w:marLeft w:val="0"/>
                          <w:marRight w:val="0"/>
                          <w:marTop w:val="0"/>
                          <w:marBottom w:val="0"/>
                          <w:divBdr>
                            <w:top w:val="none" w:sz="0" w:space="0" w:color="auto"/>
                            <w:left w:val="none" w:sz="0" w:space="0" w:color="auto"/>
                            <w:bottom w:val="none" w:sz="0" w:space="0" w:color="auto"/>
                            <w:right w:val="none" w:sz="0" w:space="0" w:color="auto"/>
                          </w:divBdr>
                        </w:div>
                        <w:div w:id="1527252040">
                          <w:marLeft w:val="0"/>
                          <w:marRight w:val="0"/>
                          <w:marTop w:val="0"/>
                          <w:marBottom w:val="0"/>
                          <w:divBdr>
                            <w:top w:val="none" w:sz="0" w:space="0" w:color="auto"/>
                            <w:left w:val="none" w:sz="0" w:space="0" w:color="auto"/>
                            <w:bottom w:val="none" w:sz="0" w:space="0" w:color="auto"/>
                            <w:right w:val="none" w:sz="0" w:space="0" w:color="auto"/>
                          </w:divBdr>
                        </w:div>
                        <w:div w:id="1441952111">
                          <w:marLeft w:val="0"/>
                          <w:marRight w:val="0"/>
                          <w:marTop w:val="0"/>
                          <w:marBottom w:val="0"/>
                          <w:divBdr>
                            <w:top w:val="none" w:sz="0" w:space="0" w:color="auto"/>
                            <w:left w:val="none" w:sz="0" w:space="0" w:color="auto"/>
                            <w:bottom w:val="none" w:sz="0" w:space="0" w:color="auto"/>
                            <w:right w:val="none" w:sz="0" w:space="0" w:color="auto"/>
                          </w:divBdr>
                        </w:div>
                        <w:div w:id="1790465875">
                          <w:marLeft w:val="0"/>
                          <w:marRight w:val="0"/>
                          <w:marTop w:val="0"/>
                          <w:marBottom w:val="0"/>
                          <w:divBdr>
                            <w:top w:val="none" w:sz="0" w:space="0" w:color="auto"/>
                            <w:left w:val="none" w:sz="0" w:space="0" w:color="auto"/>
                            <w:bottom w:val="none" w:sz="0" w:space="0" w:color="auto"/>
                            <w:right w:val="none" w:sz="0" w:space="0" w:color="auto"/>
                          </w:divBdr>
                        </w:div>
                        <w:div w:id="10257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01499">
          <w:marLeft w:val="-225"/>
          <w:marRight w:val="-225"/>
          <w:marTop w:val="0"/>
          <w:marBottom w:val="0"/>
          <w:divBdr>
            <w:top w:val="none" w:sz="0" w:space="0" w:color="auto"/>
            <w:left w:val="none" w:sz="0" w:space="0" w:color="auto"/>
            <w:bottom w:val="none" w:sz="0" w:space="0" w:color="auto"/>
            <w:right w:val="none" w:sz="0" w:space="0" w:color="auto"/>
          </w:divBdr>
          <w:divsChild>
            <w:div w:id="1923760153">
              <w:marLeft w:val="0"/>
              <w:marRight w:val="0"/>
              <w:marTop w:val="0"/>
              <w:marBottom w:val="0"/>
              <w:divBdr>
                <w:top w:val="none" w:sz="0" w:space="0" w:color="auto"/>
                <w:left w:val="none" w:sz="0" w:space="0" w:color="auto"/>
                <w:bottom w:val="none" w:sz="0" w:space="0" w:color="auto"/>
                <w:right w:val="none" w:sz="0" w:space="0" w:color="auto"/>
              </w:divBdr>
            </w:div>
            <w:div w:id="1820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blogs.microsoft.com/azuregov/implementing-zero-trust-with-microsoft-azure-identity-and-access-management-1-of-6/"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sonraisecurity.com/education/aws-azure-google-cloud-security-ia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A18462-378C-49DB-9A81-7396970C283B}">
  <ds:schemaRefs>
    <ds:schemaRef ds:uri="http://schemas.microsoft.com/sharepoint/v3/contenttype/forms"/>
  </ds:schemaRefs>
</ds:datastoreItem>
</file>

<file path=customXml/itemProps2.xml><?xml version="1.0" encoding="utf-8"?>
<ds:datastoreItem xmlns:ds="http://schemas.openxmlformats.org/officeDocument/2006/customXml" ds:itemID="{6ECD1F41-07C2-4D5C-B11F-D89D8A7D10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2E0CE5-C41B-4E5A-90DA-E0916A31B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19</cp:revision>
  <dcterms:created xsi:type="dcterms:W3CDTF">2020-01-30T15:29:00Z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