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034E8C47" w:rsidR="00196D95" w:rsidRPr="00196D95" w:rsidRDefault="00196D95" w:rsidP="00196D95">
      <w:pPr>
        <w:pStyle w:val="31"/>
        <w:rPr>
          <w:caps/>
        </w:rPr>
      </w:pPr>
      <w:r w:rsidRPr="00196D95">
        <w:rPr>
          <w:caps/>
          <w:sz w:val="24"/>
        </w:rPr>
        <w:t>Predicting PCR and RFS in Breast Cancer Treatment Using Machine Learning</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6E43230E" w14:textId="77777777" w:rsidR="003B46BE" w:rsidRDefault="003B46BE">
      <w:pPr>
        <w:jc w:val="both"/>
        <w:rPr>
          <w:sz w:val="20"/>
          <w:lang w:eastAsia="zh-CN"/>
        </w:rPr>
      </w:pPr>
    </w:p>
    <w:p w14:paraId="7A63BACD" w14:textId="77777777" w:rsidR="00A36BF2" w:rsidRDefault="00A36BF2" w:rsidP="00A36BF2">
      <w:pPr>
        <w:pStyle w:val="41"/>
        <w:rPr>
          <w:lang w:eastAsia="zh-CN"/>
        </w:rPr>
      </w:pPr>
      <w:r w:rsidRPr="00A36BF2">
        <w:rPr>
          <w:sz w:val="20"/>
        </w:rPr>
        <w:t>2. data analysis</w:t>
      </w:r>
      <w:r w:rsidRPr="00A36BF2">
        <w:rPr>
          <w:rFonts w:hint="eastAsia"/>
          <w:sz w:val="20"/>
        </w:rPr>
        <w:t xml:space="preserve"> </w:t>
      </w:r>
      <w:r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06D67D16" w:rsidR="00BD2A55" w:rsidRPr="00BD2A55" w:rsidRDefault="00A36BF2" w:rsidP="00BD2A55">
      <w:pPr>
        <w:pStyle w:val="51"/>
        <w:rPr>
          <w:bCs w:val="0"/>
          <w:i w:val="0"/>
          <w:iCs w:val="0"/>
          <w:sz w:val="20"/>
          <w:szCs w:val="20"/>
        </w:rPr>
      </w:pPr>
      <w:r w:rsidRPr="00426031">
        <w:rPr>
          <w:rFonts w:hint="eastAsia"/>
          <w:bCs w:val="0"/>
          <w:i w:val="0"/>
          <w:iCs w:val="0"/>
          <w:caps/>
          <w:sz w:val="20"/>
          <w:szCs w:val="20"/>
        </w:rPr>
        <w:t xml:space="preserve">2.1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21B4C195" w:rsidR="00C517B3" w:rsidRPr="00BD2A55" w:rsidRDefault="0021500E" w:rsidP="00BD2A55">
      <w:pPr>
        <w:pStyle w:val="51"/>
        <w:rPr>
          <w:bCs w:val="0"/>
          <w:i w:val="0"/>
          <w:iCs w:val="0"/>
          <w:sz w:val="20"/>
          <w:szCs w:val="20"/>
          <w:lang w:eastAsia="zh-CN"/>
        </w:rPr>
      </w:pPr>
      <w:r>
        <w:rPr>
          <w:bCs w:val="0"/>
          <w:i w:val="0"/>
          <w:iCs w:val="0"/>
          <w:sz w:val="20"/>
          <w:szCs w:val="20"/>
          <w:lang w:eastAsia="zh-CN"/>
        </w:rPr>
        <w:br w:type="page"/>
      </w:r>
      <w:r w:rsidR="009F0EF8" w:rsidRPr="00132549">
        <w:rPr>
          <w:bCs w:val="0"/>
          <w:i w:val="0"/>
          <w:iCs w:val="0"/>
          <w:sz w:val="20"/>
          <w:szCs w:val="20"/>
          <w:lang w:eastAsia="zh-CN"/>
        </w:rPr>
        <w:lastRenderedPageBreak/>
        <w:t>2.2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883EC9"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883EC9"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 xml:space="preserve">Finally, the histogram is used to understand the distribution pattern of the data, such as whether it conforms to a normal distribution, to determine whether the data is statistically </w:t>
      </w:r>
      <w:r w:rsidRPr="00A7237C">
        <w:rPr>
          <w:sz w:val="20"/>
          <w:lang w:eastAsia="zh-CN"/>
        </w:rPr>
        <w:t>significant, or if there are problems in the data that need further processing</w:t>
      </w:r>
      <w:r>
        <w:rPr>
          <w:sz w:val="20"/>
          <w:lang w:eastAsia="zh-CN"/>
        </w:rPr>
        <w:t>.</w:t>
      </w:r>
    </w:p>
    <w:p w14:paraId="537E3151" w14:textId="77777777" w:rsidR="00205B54" w:rsidRDefault="00883EC9" w:rsidP="00205B54">
      <w:pPr>
        <w:keepNext/>
        <w:jc w:val="both"/>
      </w:pPr>
      <w:r>
        <w:rPr>
          <w:sz w:val="20"/>
          <w:lang w:eastAsia="zh-CN"/>
        </w:rPr>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49D1720C" w:rsidR="0004530E" w:rsidRPr="002D2BE6" w:rsidRDefault="0004530E" w:rsidP="002D2BE6">
      <w:pPr>
        <w:pStyle w:val="51"/>
        <w:rPr>
          <w:bCs w:val="0"/>
          <w:i w:val="0"/>
          <w:iCs w:val="0"/>
          <w:sz w:val="20"/>
          <w:szCs w:val="20"/>
          <w:lang w:eastAsia="zh-CN"/>
        </w:rPr>
      </w:pPr>
      <w:r w:rsidRPr="002D2BE6">
        <w:rPr>
          <w:rFonts w:hint="eastAsia"/>
          <w:bCs w:val="0"/>
          <w:i w:val="0"/>
          <w:iCs w:val="0"/>
          <w:sz w:val="20"/>
          <w:szCs w:val="20"/>
          <w:lang w:eastAsia="zh-CN"/>
        </w:rPr>
        <w:t xml:space="preserve">2.3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883EC9"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56824130" w:rsidR="00FC19AD" w:rsidRPr="00883EC9" w:rsidRDefault="00FC19AD" w:rsidP="00883EC9">
      <w:pPr>
        <w:pStyle w:val="51"/>
        <w:rPr>
          <w:bCs w:val="0"/>
          <w:i w:val="0"/>
          <w:iCs w:val="0"/>
          <w:sz w:val="20"/>
          <w:szCs w:val="20"/>
          <w:lang w:eastAsia="zh-CN"/>
        </w:rPr>
      </w:pPr>
      <w:r w:rsidRPr="00FC19AD">
        <w:rPr>
          <w:rFonts w:hint="eastAsia"/>
          <w:bCs w:val="0"/>
          <w:i w:val="0"/>
          <w:iCs w:val="0"/>
          <w:sz w:val="20"/>
          <w:szCs w:val="20"/>
          <w:lang w:eastAsia="zh-CN"/>
        </w:rPr>
        <w:t xml:space="preserve">2.4 </w:t>
      </w:r>
      <w:r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11C3A21C" w:rsidR="00C517B3" w:rsidRPr="007B6570" w:rsidRDefault="0021500E" w:rsidP="00FC19AD">
      <w:pPr>
        <w:pStyle w:val="41"/>
        <w:rPr>
          <w:sz w:val="20"/>
          <w:lang w:eastAsia="zh-CN"/>
        </w:rPr>
      </w:pPr>
      <w:r>
        <w:rPr>
          <w:caps w:val="0"/>
        </w:rPr>
        <w:br w:type="page"/>
      </w:r>
      <w:r w:rsidR="00C517B3" w:rsidRPr="0041497F">
        <w:rPr>
          <w:sz w:val="20"/>
        </w:rPr>
        <w:lastRenderedPageBreak/>
        <w:t>3.</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5E0BAFB1" w:rsidR="00FD122F" w:rsidRPr="00883EC9" w:rsidRDefault="00CD0467" w:rsidP="00883EC9">
      <w:pPr>
        <w:pStyle w:val="51"/>
        <w:rPr>
          <w:bCs w:val="0"/>
          <w:i w:val="0"/>
          <w:iCs w:val="0"/>
          <w:sz w:val="20"/>
          <w:szCs w:val="20"/>
          <w:lang w:eastAsia="zh-CN"/>
        </w:rPr>
      </w:pPr>
      <w:r w:rsidRPr="00A470A8">
        <w:rPr>
          <w:bCs w:val="0"/>
          <w:i w:val="0"/>
          <w:iCs w:val="0"/>
          <w:sz w:val="20"/>
          <w:szCs w:val="20"/>
          <w:lang w:eastAsia="zh-CN"/>
        </w:rPr>
        <w:t>3.1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rFonts w:hint="eastAsia"/>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00000" w14:paraId="7F8F9E84" w14:textId="77777777">
        <w:tc>
          <w:tcPr>
            <w:tcW w:w="1761" w:type="dxa"/>
            <w:shd w:val="clear" w:color="auto" w:fill="auto"/>
          </w:tcPr>
          <w:p w14:paraId="117EFBD5" w14:textId="5193777C" w:rsidR="00883EC9" w:rsidRDefault="00883EC9" w:rsidP="00FC19AD">
            <w:pPr>
              <w:rPr>
                <w:rFonts w:hint="eastAsia"/>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rFonts w:hint="eastAsia"/>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rFonts w:hint="eastAsia"/>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rFonts w:hint="eastAsia"/>
                <w:sz w:val="20"/>
                <w:lang w:eastAsia="zh-CN"/>
              </w:rPr>
            </w:pPr>
            <w:r>
              <w:rPr>
                <w:sz w:val="20"/>
                <w:lang w:eastAsia="zh-CN"/>
              </w:rPr>
              <w:t>F1-Score (Class 0)</w:t>
            </w:r>
          </w:p>
        </w:tc>
      </w:tr>
      <w:tr w:rsidR="00000000" w14:paraId="076EA1A5" w14:textId="77777777">
        <w:tc>
          <w:tcPr>
            <w:tcW w:w="1761" w:type="dxa"/>
            <w:shd w:val="clear" w:color="auto" w:fill="auto"/>
          </w:tcPr>
          <w:p w14:paraId="43C11D85" w14:textId="679EB8CA" w:rsidR="00883EC9" w:rsidRDefault="00883EC9" w:rsidP="00FC19AD">
            <w:pPr>
              <w:rPr>
                <w:rFonts w:hint="eastAsia"/>
                <w:sz w:val="20"/>
                <w:lang w:eastAsia="zh-CN"/>
              </w:rPr>
            </w:pPr>
            <w:proofErr w:type="spellStart"/>
            <w:r>
              <w:rPr>
                <w:sz w:val="20"/>
                <w:lang w:eastAsia="zh-CN"/>
              </w:rPr>
              <w:t>RandomForest</w:t>
            </w:r>
            <w:proofErr w:type="spellEnd"/>
            <w:r>
              <w:rPr>
                <w:sz w:val="20"/>
                <w:lang w:eastAsia="zh-CN"/>
              </w:rPr>
              <w:t xml:space="preserve"> (75estimators)</w:t>
            </w:r>
          </w:p>
        </w:tc>
        <w:tc>
          <w:tcPr>
            <w:tcW w:w="1163" w:type="dxa"/>
            <w:shd w:val="clear" w:color="auto" w:fill="auto"/>
          </w:tcPr>
          <w:p w14:paraId="629662FD" w14:textId="1E07C103" w:rsidR="00883EC9" w:rsidRDefault="00883EC9" w:rsidP="00FC19AD">
            <w:pPr>
              <w:rPr>
                <w:rFonts w:hint="eastAsia"/>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rFonts w:hint="eastAsia"/>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rFonts w:hint="eastAsia"/>
                <w:sz w:val="20"/>
                <w:lang w:eastAsia="zh-CN"/>
              </w:rPr>
            </w:pPr>
            <w:r>
              <w:rPr>
                <w:rFonts w:hint="eastAsia"/>
                <w:sz w:val="20"/>
                <w:lang w:eastAsia="zh-CN"/>
              </w:rPr>
              <w:t>0.82</w:t>
            </w:r>
          </w:p>
        </w:tc>
      </w:tr>
      <w:tr w:rsidR="00000000" w14:paraId="78533276" w14:textId="77777777">
        <w:tc>
          <w:tcPr>
            <w:tcW w:w="1761" w:type="dxa"/>
            <w:shd w:val="clear" w:color="auto" w:fill="auto"/>
          </w:tcPr>
          <w:p w14:paraId="3A3BE22D" w14:textId="356A2143" w:rsidR="00883EC9" w:rsidRDefault="00883EC9" w:rsidP="00FC19AD">
            <w:pPr>
              <w:rPr>
                <w:rFonts w:hint="eastAsia"/>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rFonts w:hint="eastAsia"/>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rFonts w:hint="eastAsia"/>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rFonts w:hint="eastAsia"/>
                <w:sz w:val="20"/>
                <w:lang w:eastAsia="zh-CN"/>
              </w:rPr>
            </w:pPr>
            <w:r>
              <w:rPr>
                <w:rFonts w:hint="eastAsia"/>
                <w:sz w:val="20"/>
                <w:lang w:eastAsia="zh-CN"/>
              </w:rPr>
              <w:t>0.82</w:t>
            </w:r>
          </w:p>
        </w:tc>
      </w:tr>
      <w:tr w:rsidR="00000000" w14:paraId="7DF676A0" w14:textId="77777777">
        <w:tc>
          <w:tcPr>
            <w:tcW w:w="1761" w:type="dxa"/>
            <w:shd w:val="clear" w:color="auto" w:fill="auto"/>
          </w:tcPr>
          <w:p w14:paraId="2AC3CE5B" w14:textId="306C7E9B" w:rsidR="00883EC9" w:rsidRDefault="00883EC9" w:rsidP="00FC19AD">
            <w:pPr>
              <w:rPr>
                <w:rFonts w:hint="eastAsia"/>
                <w:sz w:val="20"/>
                <w:lang w:eastAsia="zh-CN"/>
              </w:rPr>
            </w:pPr>
            <w:proofErr w:type="spellStart"/>
            <w:proofErr w:type="gramStart"/>
            <w:r>
              <w:rPr>
                <w:sz w:val="20"/>
                <w:lang w:eastAsia="zh-CN"/>
              </w:rPr>
              <w:t>LogisticRegression</w:t>
            </w:r>
            <w:proofErr w:type="spellEnd"/>
            <w:proofErr w:type="gramEnd"/>
            <w:r>
              <w:rPr>
                <w:sz w:val="20"/>
                <w:lang w:eastAsia="zh-CN"/>
              </w:rPr>
              <w:t xml:space="preserve"> (C=1.2)</w:t>
            </w:r>
          </w:p>
        </w:tc>
        <w:tc>
          <w:tcPr>
            <w:tcW w:w="1163" w:type="dxa"/>
            <w:shd w:val="clear" w:color="auto" w:fill="auto"/>
          </w:tcPr>
          <w:p w14:paraId="34D04BB5" w14:textId="13DD4019" w:rsidR="00883EC9" w:rsidRDefault="00883EC9" w:rsidP="00FC19AD">
            <w:pPr>
              <w:rPr>
                <w:rFonts w:hint="eastAsia"/>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rFonts w:hint="eastAsia"/>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rFonts w:hint="eastAsia"/>
                <w:sz w:val="20"/>
                <w:lang w:eastAsia="zh-CN"/>
              </w:rPr>
            </w:pPr>
            <w:r>
              <w:rPr>
                <w:rFonts w:hint="eastAsia"/>
                <w:sz w:val="20"/>
                <w:lang w:eastAsia="zh-CN"/>
              </w:rPr>
              <w:t>0.82</w:t>
            </w:r>
          </w:p>
        </w:tc>
      </w:tr>
      <w:tr w:rsidR="00000000" w14:paraId="65B38493" w14:textId="77777777">
        <w:tc>
          <w:tcPr>
            <w:tcW w:w="1761" w:type="dxa"/>
            <w:shd w:val="clear" w:color="auto" w:fill="auto"/>
          </w:tcPr>
          <w:p w14:paraId="7331C30B" w14:textId="5F399F9E" w:rsidR="00883EC9" w:rsidRDefault="00883EC9" w:rsidP="00883EC9">
            <w:pPr>
              <w:rPr>
                <w:rFonts w:hint="eastAsia"/>
                <w:sz w:val="20"/>
                <w:lang w:eastAsia="zh-CN"/>
              </w:rPr>
            </w:pPr>
          </w:p>
        </w:tc>
        <w:tc>
          <w:tcPr>
            <w:tcW w:w="1163" w:type="dxa"/>
            <w:shd w:val="clear" w:color="auto" w:fill="auto"/>
          </w:tcPr>
          <w:p w14:paraId="571484FD" w14:textId="379D805A" w:rsidR="00883EC9" w:rsidRDefault="00883EC9" w:rsidP="00883EC9">
            <w:pPr>
              <w:rPr>
                <w:rFonts w:hint="eastAsia"/>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rFonts w:hint="eastAsia"/>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rFonts w:hint="eastAsia"/>
                <w:sz w:val="20"/>
                <w:lang w:eastAsia="zh-CN"/>
              </w:rPr>
            </w:pPr>
            <w:r>
              <w:rPr>
                <w:sz w:val="20"/>
                <w:lang w:eastAsia="zh-CN"/>
              </w:rPr>
              <w:t xml:space="preserve">F1-Score (Class </w:t>
            </w:r>
            <w:r>
              <w:rPr>
                <w:rFonts w:hint="eastAsia"/>
                <w:sz w:val="20"/>
                <w:lang w:eastAsia="zh-CN"/>
              </w:rPr>
              <w:t>1</w:t>
            </w:r>
            <w:r>
              <w:rPr>
                <w:sz w:val="20"/>
                <w:lang w:eastAsia="zh-CN"/>
              </w:rPr>
              <w:t>)</w:t>
            </w:r>
          </w:p>
        </w:tc>
      </w:tr>
      <w:tr w:rsidR="00000000" w14:paraId="6018A866" w14:textId="77777777">
        <w:tc>
          <w:tcPr>
            <w:tcW w:w="1761" w:type="dxa"/>
            <w:shd w:val="clear" w:color="auto" w:fill="auto"/>
          </w:tcPr>
          <w:p w14:paraId="32F1D8EA" w14:textId="04C980A5" w:rsidR="00883EC9" w:rsidRDefault="00883EC9" w:rsidP="00883EC9">
            <w:pPr>
              <w:rPr>
                <w:rFonts w:hint="eastAsia"/>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031B56DD" w14:textId="71F80156" w:rsidR="00883EC9" w:rsidRDefault="00883EC9" w:rsidP="00883EC9">
            <w:pPr>
              <w:rPr>
                <w:rFonts w:hint="eastAsia"/>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rFonts w:hint="eastAsia"/>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rFonts w:hint="eastAsia"/>
                <w:sz w:val="20"/>
                <w:lang w:eastAsia="zh-CN"/>
              </w:rPr>
            </w:pPr>
            <w:r>
              <w:rPr>
                <w:rFonts w:hint="eastAsia"/>
                <w:sz w:val="20"/>
                <w:lang w:eastAsia="zh-CN"/>
              </w:rPr>
              <w:t>0.49</w:t>
            </w:r>
          </w:p>
        </w:tc>
      </w:tr>
      <w:tr w:rsidR="00000000" w14:paraId="3AAEA386" w14:textId="77777777">
        <w:tc>
          <w:tcPr>
            <w:tcW w:w="1761" w:type="dxa"/>
            <w:shd w:val="clear" w:color="auto" w:fill="auto"/>
          </w:tcPr>
          <w:p w14:paraId="2D012E1E" w14:textId="4158E4A7" w:rsidR="00883EC9" w:rsidRDefault="00883EC9" w:rsidP="00883EC9">
            <w:pPr>
              <w:rPr>
                <w:rFonts w:hint="eastAsia"/>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rFonts w:hint="eastAsia"/>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rFonts w:hint="eastAsia"/>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rFonts w:hint="eastAsia"/>
                <w:sz w:val="20"/>
                <w:lang w:eastAsia="zh-CN"/>
              </w:rPr>
            </w:pPr>
            <w:r>
              <w:rPr>
                <w:rFonts w:hint="eastAsia"/>
                <w:sz w:val="20"/>
                <w:lang w:eastAsia="zh-CN"/>
              </w:rPr>
              <w:t>0.57</w:t>
            </w:r>
          </w:p>
        </w:tc>
      </w:tr>
      <w:tr w:rsidR="00000000" w14:paraId="5FAD76CE" w14:textId="77777777">
        <w:tc>
          <w:tcPr>
            <w:tcW w:w="1761" w:type="dxa"/>
            <w:shd w:val="clear" w:color="auto" w:fill="auto"/>
          </w:tcPr>
          <w:p w14:paraId="58C413FC" w14:textId="0A48A2AD" w:rsidR="00883EC9" w:rsidRDefault="00883EC9" w:rsidP="00883EC9">
            <w:pPr>
              <w:rPr>
                <w:rFonts w:hint="eastAsia"/>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753F8F3F" w14:textId="047E0EC3" w:rsidR="00883EC9" w:rsidRDefault="00883EC9" w:rsidP="00883EC9">
            <w:pPr>
              <w:rPr>
                <w:rFonts w:hint="eastAsia"/>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rFonts w:hint="eastAsia"/>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rFonts w:hint="eastAsia"/>
                <w:sz w:val="20"/>
                <w:lang w:eastAsia="zh-CN"/>
              </w:rPr>
            </w:pPr>
            <w:r>
              <w:rPr>
                <w:rFonts w:hint="eastAsia"/>
                <w:sz w:val="20"/>
                <w:lang w:eastAsia="zh-CN"/>
              </w:rPr>
              <w:t>0.51</w:t>
            </w:r>
          </w:p>
        </w:tc>
      </w:tr>
      <w:tr w:rsidR="00000000" w14:paraId="1B102644" w14:textId="77777777">
        <w:tc>
          <w:tcPr>
            <w:tcW w:w="1761" w:type="dxa"/>
            <w:shd w:val="clear" w:color="auto" w:fill="auto"/>
          </w:tcPr>
          <w:p w14:paraId="1CB39F12" w14:textId="77777777" w:rsidR="00883EC9" w:rsidRDefault="00883EC9" w:rsidP="00883EC9">
            <w:pPr>
              <w:rPr>
                <w:rFonts w:hint="eastAsia"/>
                <w:sz w:val="20"/>
                <w:lang w:eastAsia="zh-CN"/>
              </w:rPr>
            </w:pPr>
          </w:p>
        </w:tc>
        <w:tc>
          <w:tcPr>
            <w:tcW w:w="1163" w:type="dxa"/>
            <w:shd w:val="clear" w:color="auto" w:fill="auto"/>
          </w:tcPr>
          <w:p w14:paraId="31EA2E09" w14:textId="104508E9" w:rsidR="00883EC9" w:rsidRDefault="00883EC9" w:rsidP="00883EC9">
            <w:pPr>
              <w:rPr>
                <w:rFonts w:hint="eastAsia"/>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rFonts w:hint="eastAsia"/>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rFonts w:hint="eastAsia"/>
                <w:sz w:val="20"/>
                <w:lang w:eastAsia="zh-CN"/>
              </w:rPr>
            </w:pPr>
            <w:r>
              <w:rPr>
                <w:sz w:val="20"/>
                <w:lang w:eastAsia="zh-CN"/>
              </w:rPr>
              <w:t>ROC-AUC</w:t>
            </w:r>
          </w:p>
        </w:tc>
      </w:tr>
      <w:tr w:rsidR="00000000" w14:paraId="0A3EEBC4" w14:textId="77777777">
        <w:tc>
          <w:tcPr>
            <w:tcW w:w="1761" w:type="dxa"/>
            <w:shd w:val="clear" w:color="auto" w:fill="auto"/>
          </w:tcPr>
          <w:p w14:paraId="5598C4C3" w14:textId="6F2D71A2" w:rsidR="00883EC9" w:rsidRDefault="00883EC9" w:rsidP="00883EC9">
            <w:pPr>
              <w:rPr>
                <w:rFonts w:hint="eastAsia"/>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60C1404F" w14:textId="2DF50CB8" w:rsidR="00883EC9" w:rsidRDefault="00883EC9" w:rsidP="00883EC9">
            <w:pPr>
              <w:rPr>
                <w:rFonts w:hint="eastAsia"/>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rFonts w:hint="eastAsia"/>
                <w:sz w:val="20"/>
                <w:lang w:eastAsia="zh-CN"/>
              </w:rPr>
            </w:pPr>
            <w:r>
              <w:rPr>
                <w:sz w:val="20"/>
                <w:lang w:eastAsia="zh-CN"/>
              </w:rPr>
              <w:t>0.6812</w:t>
            </w:r>
          </w:p>
        </w:tc>
      </w:tr>
      <w:tr w:rsidR="00000000" w14:paraId="1AC42C80" w14:textId="77777777">
        <w:tc>
          <w:tcPr>
            <w:tcW w:w="1761" w:type="dxa"/>
            <w:shd w:val="clear" w:color="auto" w:fill="auto"/>
          </w:tcPr>
          <w:p w14:paraId="2AE78264" w14:textId="3D6D5015" w:rsidR="00883EC9" w:rsidRDefault="00883EC9" w:rsidP="00883EC9">
            <w:pPr>
              <w:rPr>
                <w:rFonts w:hint="eastAsia"/>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rFonts w:hint="eastAsia"/>
                <w:sz w:val="20"/>
                <w:lang w:eastAsia="zh-CN"/>
              </w:rPr>
            </w:pPr>
            <w:r>
              <w:rPr>
                <w:sz w:val="20"/>
                <w:lang w:eastAsia="zh-CN"/>
              </w:rPr>
              <w:t>0.7533</w:t>
            </w:r>
          </w:p>
        </w:tc>
      </w:tr>
      <w:tr w:rsidR="00000000" w14:paraId="24C52FAF" w14:textId="77777777">
        <w:tc>
          <w:tcPr>
            <w:tcW w:w="1761" w:type="dxa"/>
            <w:shd w:val="clear" w:color="auto" w:fill="auto"/>
          </w:tcPr>
          <w:p w14:paraId="72EBF893" w14:textId="25A615C4" w:rsidR="00883EC9" w:rsidRDefault="00883EC9" w:rsidP="00883EC9">
            <w:pPr>
              <w:rPr>
                <w:rFonts w:hint="eastAsia"/>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rFonts w:hint="eastAsia"/>
                <w:sz w:val="20"/>
                <w:lang w:eastAsia="zh-CN"/>
              </w:rPr>
            </w:pPr>
            <w:r>
              <w:rPr>
                <w:sz w:val="20"/>
                <w:lang w:eastAsia="zh-CN"/>
              </w:rPr>
              <w:t>0.7026</w:t>
            </w:r>
          </w:p>
        </w:tc>
      </w:tr>
    </w:tbl>
    <w:p w14:paraId="405F2A52" w14:textId="09117CC2" w:rsidR="00883EC9" w:rsidRDefault="00883EC9" w:rsidP="00883EC9">
      <w:pPr>
        <w:pStyle w:val="ad"/>
        <w:jc w:val="center"/>
        <w:rPr>
          <w:lang w:eastAsia="zh-CN"/>
        </w:rPr>
      </w:pPr>
      <w:r>
        <w:t xml:space="preserve">Table. </w:t>
      </w:r>
      <w:fldSimple w:instr=" SEQ Table \* ARABIC ">
        <w:r>
          <w:rPr>
            <w:noProof/>
          </w:rPr>
          <w:t>1</w:t>
        </w:r>
      </w:fldSimple>
      <w:r>
        <w:t xml:space="preserve">. Model accuracy </w:t>
      </w:r>
      <w:proofErr w:type="spellStart"/>
      <w:r>
        <w:t>comparsion</w:t>
      </w:r>
      <w:proofErr w:type="spellEnd"/>
    </w:p>
    <w:p w14:paraId="5BF0508C" w14:textId="6B89C2F5" w:rsidR="00F91AC4" w:rsidRDefault="00F91AC4" w:rsidP="00FC19AD">
      <w:pPr>
        <w:pStyle w:val="51"/>
        <w:rPr>
          <w:bCs w:val="0"/>
          <w:i w:val="0"/>
          <w:iCs w:val="0"/>
          <w:sz w:val="20"/>
          <w:szCs w:val="20"/>
          <w:lang w:eastAsia="zh-CN"/>
        </w:rPr>
      </w:pPr>
      <w:r w:rsidRPr="00A470A8">
        <w:rPr>
          <w:bCs w:val="0"/>
          <w:i w:val="0"/>
          <w:iCs w:val="0"/>
          <w:sz w:val="20"/>
          <w:szCs w:val="20"/>
          <w:lang w:eastAsia="zh-CN"/>
        </w:rPr>
        <w:t>3.</w:t>
      </w:r>
      <w:r>
        <w:rPr>
          <w:rFonts w:hint="eastAsia"/>
          <w:bCs w:val="0"/>
          <w:i w:val="0"/>
          <w:iCs w:val="0"/>
          <w:sz w:val="20"/>
          <w:szCs w:val="20"/>
          <w:lang w:eastAsia="zh-CN"/>
        </w:rPr>
        <w:t>2</w:t>
      </w:r>
      <w:r w:rsidRPr="00A470A8">
        <w:rPr>
          <w:bCs w:val="0"/>
          <w:i w:val="0"/>
          <w:iCs w:val="0"/>
          <w:sz w:val="20"/>
          <w:szCs w:val="20"/>
          <w:lang w:eastAsia="zh-CN"/>
        </w:rPr>
        <w:t xml:space="preserve"> </w:t>
      </w:r>
      <w:r>
        <w:rPr>
          <w:rFonts w:hint="eastAsia"/>
          <w:bCs w:val="0"/>
          <w:i w:val="0"/>
          <w:iCs w:val="0"/>
          <w:sz w:val="20"/>
          <w:szCs w:val="20"/>
          <w:lang w:eastAsia="zh-CN"/>
        </w:rPr>
        <w:t>RFS</w:t>
      </w:r>
      <w:r w:rsidRPr="00A470A8">
        <w:rPr>
          <w:bCs w:val="0"/>
          <w:i w:val="0"/>
          <w:iCs w:val="0"/>
          <w:sz w:val="20"/>
          <w:szCs w:val="20"/>
          <w:lang w:eastAsia="zh-CN"/>
        </w:rPr>
        <w:t xml:space="preserve"> (</w:t>
      </w:r>
      <w:r>
        <w:rPr>
          <w:rFonts w:hint="eastAsia"/>
          <w:bCs w:val="0"/>
          <w:i w:val="0"/>
          <w:iCs w:val="0"/>
          <w:sz w:val="20"/>
          <w:szCs w:val="20"/>
          <w:lang w:eastAsia="zh-CN"/>
        </w:rPr>
        <w:t>regression</w:t>
      </w:r>
      <w:r w:rsidRPr="00A470A8">
        <w:rPr>
          <w:bCs w:val="0"/>
          <w:i w:val="0"/>
          <w:iCs w:val="0"/>
          <w:sz w:val="20"/>
          <w:szCs w:val="20"/>
          <w:lang w:eastAsia="zh-CN"/>
        </w:rPr>
        <w:t xml:space="preserve"> task)</w:t>
      </w:r>
    </w:p>
    <w:p w14:paraId="4AA9DD88" w14:textId="20704E2F" w:rsidR="00F91AC4" w:rsidRDefault="00AA001E" w:rsidP="00FC19AD">
      <w:pPr>
        <w:rPr>
          <w:sz w:val="20"/>
          <w:lang w:eastAsia="zh-CN"/>
        </w:rPr>
      </w:pPr>
      <w:r w:rsidRPr="00AA001E">
        <w:rPr>
          <w:sz w:val="20"/>
          <w:lang w:eastAsia="zh-CN"/>
        </w:rPr>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FC19AD">
      <w:pPr>
        <w:rPr>
          <w:sz w:val="20"/>
          <w:lang w:eastAsia="zh-CN"/>
        </w:rPr>
      </w:pPr>
    </w:p>
    <w:p w14:paraId="60912BF6" w14:textId="614374F8" w:rsidR="00AA001E" w:rsidRDefault="00AA001E" w:rsidP="00FC19AD">
      <w:pPr>
        <w:rPr>
          <w:sz w:val="20"/>
          <w:lang w:eastAsia="zh-CN"/>
        </w:rPr>
      </w:pPr>
      <w:r w:rsidRPr="00105D2A">
        <w:rPr>
          <w:sz w:val="20"/>
          <w:lang w:eastAsia="zh-CN"/>
        </w:rPr>
        <w:t>Random Forest: Processes high-dimensional data</w:t>
      </w:r>
      <w:r>
        <w:rPr>
          <w:sz w:val="20"/>
          <w:lang w:eastAsia="zh-CN"/>
        </w:rPr>
        <w:t>.</w:t>
      </w:r>
    </w:p>
    <w:p w14:paraId="6B3673CB" w14:textId="77777777" w:rsidR="00C517B3" w:rsidRDefault="00C517B3" w:rsidP="00FC19AD">
      <w:pPr>
        <w:jc w:val="both"/>
        <w:rPr>
          <w:sz w:val="20"/>
          <w:lang w:eastAsia="zh-CN"/>
        </w:rPr>
      </w:pPr>
    </w:p>
    <w:p w14:paraId="2305295C" w14:textId="0BA7CA43" w:rsidR="00C517B3" w:rsidRPr="0057480E" w:rsidRDefault="007B6570" w:rsidP="007819FF">
      <w:pPr>
        <w:pStyle w:val="41"/>
        <w:rPr>
          <w:caps w:val="0"/>
          <w:sz w:val="20"/>
        </w:rPr>
      </w:pPr>
      <w:r>
        <w:rPr>
          <w:rFonts w:hint="eastAsia"/>
          <w:caps w:val="0"/>
          <w:sz w:val="20"/>
          <w:lang w:eastAsia="zh-CN"/>
        </w:rPr>
        <w:t>4</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052E6324" w14:textId="680BFF24" w:rsidR="00C517B3" w:rsidRDefault="001A1044" w:rsidP="002917FD">
      <w:pPr>
        <w:rPr>
          <w:b/>
          <w:caps/>
          <w:sz w:val="20"/>
        </w:rPr>
      </w:pPr>
      <w:r>
        <w:rPr>
          <w:b/>
          <w:caps/>
          <w:sz w:val="20"/>
        </w:rPr>
        <w:br w:type="page"/>
      </w:r>
      <w:r w:rsidR="00C517B3">
        <w:rPr>
          <w:b/>
          <w:caps/>
          <w:sz w:val="20"/>
        </w:rPr>
        <w:lastRenderedPageBreak/>
        <w:t>11. References</w:t>
      </w:r>
    </w:p>
    <w:p w14:paraId="5F9E1C5D" w14:textId="77777777" w:rsidR="00C517B3" w:rsidRDefault="00C517B3">
      <w:pPr>
        <w:jc w:val="both"/>
        <w:rPr>
          <w:sz w:val="20"/>
        </w:rPr>
      </w:pPr>
    </w:p>
    <w:p w14:paraId="4FB31624" w14:textId="77777777" w:rsidR="005A39ED" w:rsidRDefault="005A39ED" w:rsidP="005A39ED">
      <w:pPr>
        <w:pStyle w:val="22"/>
        <w:ind w:firstLine="0"/>
      </w:pPr>
      <w: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[2]. </w:t>
      </w:r>
      <w:r w:rsidRPr="007F7F26">
        <w:t>An additional</w:t>
      </w:r>
      <w:r>
        <w:t xml:space="preserve"> </w:t>
      </w:r>
      <w:r w:rsidRPr="007F7F26">
        <w:t>final page (the fifth page, in most cases)</w:t>
      </w:r>
      <w:r>
        <w:t xml:space="preserve"> is allowed, but</w:t>
      </w:r>
      <w:r w:rsidRPr="007F7F26">
        <w:t xml:space="preserve"> must contain only references to</w:t>
      </w:r>
      <w:r>
        <w:t xml:space="preserve"> </w:t>
      </w:r>
      <w:r w:rsidRPr="007F7F26">
        <w:t>the prior literature.</w:t>
      </w:r>
    </w:p>
    <w:p w14:paraId="246554AC" w14:textId="77777777" w:rsidR="005A39ED" w:rsidRDefault="005A39ED" w:rsidP="005A39ED">
      <w:pPr>
        <w:jc w:val="both"/>
        <w:rPr>
          <w:sz w:val="20"/>
        </w:rPr>
      </w:pP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440883CA" w:rsidR="00CD09D3" w:rsidRDefault="00B73898" w:rsidP="00046A5A">
            <w:pPr>
              <w:rPr>
                <w:b/>
                <w:caps/>
                <w:sz w:val="20"/>
                <w:lang w:eastAsia="zh-CN"/>
              </w:rPr>
            </w:pPr>
            <w:r>
              <w:rPr>
                <w:rFonts w:hint="eastAsia"/>
                <w:b/>
                <w:caps/>
                <w:sz w:val="20"/>
                <w:lang w:eastAsia="zh-CN"/>
              </w:rPr>
              <w:t>80%</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b/>
                <w:caps/>
                <w:sz w:val="20"/>
                <w:lang w:eastAsia="zh-CN"/>
              </w:rPr>
            </w:pPr>
            <w:r>
              <w:rPr>
                <w:rFonts w:hint="eastAsia"/>
                <w:b/>
                <w:caps/>
                <w:sz w:val="20"/>
                <w:lang w:eastAsia="zh-CN"/>
              </w:rPr>
              <w:t>15</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b/>
                <w:caps/>
                <w:sz w:val="20"/>
                <w:lang w:eastAsia="zh-CN"/>
              </w:rPr>
            </w:pPr>
            <w:r>
              <w:rPr>
                <w:rFonts w:hint="eastAsia"/>
                <w:b/>
                <w:caps/>
                <w:sz w:val="20"/>
                <w:lang w:eastAsia="zh-CN"/>
              </w:rPr>
              <w:t>0%</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16D2D0F7" w14:textId="362AB0B9" w:rsidR="00CD09D3" w:rsidRDefault="00B73898" w:rsidP="00046A5A">
            <w:pPr>
              <w:rPr>
                <w:b/>
                <w:caps/>
                <w:sz w:val="20"/>
                <w:lang w:eastAsia="zh-CN"/>
              </w:rPr>
            </w:pPr>
            <w:r>
              <w:rPr>
                <w:rFonts w:hint="eastAsia"/>
                <w:b/>
                <w:caps/>
                <w:sz w:val="20"/>
                <w:lang w:eastAsia="zh-CN"/>
              </w:rPr>
              <w:t>0%</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067F902B" w14:textId="71029241" w:rsidR="00CD09D3" w:rsidRDefault="009A1145" w:rsidP="00046A5A">
            <w:pPr>
              <w:rPr>
                <w:sz w:val="20"/>
                <w:lang w:eastAsia="zh-CN"/>
              </w:rPr>
            </w:pPr>
            <w:r>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4530E"/>
    <w:rsid w:val="00047A59"/>
    <w:rsid w:val="000E00D1"/>
    <w:rsid w:val="000E033A"/>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1ABE"/>
    <w:rsid w:val="00245864"/>
    <w:rsid w:val="00277112"/>
    <w:rsid w:val="002917FD"/>
    <w:rsid w:val="002A04C8"/>
    <w:rsid w:val="002D2BE6"/>
    <w:rsid w:val="002D4FE6"/>
    <w:rsid w:val="002D7A05"/>
    <w:rsid w:val="002F0A52"/>
    <w:rsid w:val="00362FB5"/>
    <w:rsid w:val="003B46BE"/>
    <w:rsid w:val="003D04B2"/>
    <w:rsid w:val="003D268B"/>
    <w:rsid w:val="003D7E98"/>
    <w:rsid w:val="003E11C8"/>
    <w:rsid w:val="00404D5C"/>
    <w:rsid w:val="0041497F"/>
    <w:rsid w:val="004247A1"/>
    <w:rsid w:val="00426031"/>
    <w:rsid w:val="00453295"/>
    <w:rsid w:val="0045363C"/>
    <w:rsid w:val="004573B8"/>
    <w:rsid w:val="0047177F"/>
    <w:rsid w:val="004813AE"/>
    <w:rsid w:val="004A7065"/>
    <w:rsid w:val="004D4967"/>
    <w:rsid w:val="00531759"/>
    <w:rsid w:val="005326C3"/>
    <w:rsid w:val="0057480E"/>
    <w:rsid w:val="005A2BA7"/>
    <w:rsid w:val="005A39ED"/>
    <w:rsid w:val="0060259D"/>
    <w:rsid w:val="006167F1"/>
    <w:rsid w:val="00666E12"/>
    <w:rsid w:val="00683848"/>
    <w:rsid w:val="00685148"/>
    <w:rsid w:val="006B02DA"/>
    <w:rsid w:val="006B7109"/>
    <w:rsid w:val="006C4BBB"/>
    <w:rsid w:val="006D637C"/>
    <w:rsid w:val="007451B3"/>
    <w:rsid w:val="00770313"/>
    <w:rsid w:val="007819FF"/>
    <w:rsid w:val="007B6570"/>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116</cp:revision>
  <cp:lastPrinted>2000-05-02T17:54:00Z</cp:lastPrinted>
  <dcterms:created xsi:type="dcterms:W3CDTF">2024-12-11T12:00:00Z</dcterms:created>
  <dcterms:modified xsi:type="dcterms:W3CDTF">2024-12-12T17:09:00Z</dcterms:modified>
</cp:coreProperties>
</file>