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81FB9F" w14:textId="1EC0C6FB" w:rsidR="00E303C9" w:rsidRDefault="002A6604" w:rsidP="002A6604">
      <w:pPr>
        <w:pStyle w:val="Heading1"/>
      </w:pPr>
      <w:r>
        <w:t xml:space="preserve">Chapter </w:t>
      </w:r>
      <w:r w:rsidR="00203497">
        <w:t>10</w:t>
      </w:r>
      <w:r>
        <w:t xml:space="preserve">: </w:t>
      </w:r>
      <w:r w:rsidR="00203497">
        <w:t>Deploying the release</w:t>
      </w:r>
    </w:p>
    <w:p w14:paraId="5E9CD481" w14:textId="77777777" w:rsidR="00F24278" w:rsidRDefault="00F24278" w:rsidP="003E7CD8">
      <w:pPr>
        <w:pStyle w:val="Heading3"/>
      </w:pPr>
      <w:r>
        <w:t>Professional Automated Deployments with the Release Hub</w:t>
      </w:r>
    </w:p>
    <w:p w14:paraId="4191322E" w14:textId="77777777" w:rsidR="00F24278" w:rsidRDefault="00F24278" w:rsidP="00F24278">
      <w:pPr>
        <w:pStyle w:val="BodyText"/>
      </w:pPr>
      <w:r>
        <w:t xml:space="preserve">Now that you’ve properly packaged release candidates, you can use the Release Hub of Azure Pipelines to model your environment pipeline and configure deployments. You can define multiple deployment pipelines that use a single build as a source of release candidates. In this example, you’re targeting Azure PaaS services for the runtime environment of your application. As the builds are released to your deployment pipeline, you’ll see something </w:t>
      </w:r>
      <w:proofErr w:type="gramStart"/>
      <w:r>
        <w:t>similar to</w:t>
      </w:r>
      <w:proofErr w:type="gramEnd"/>
      <w:r>
        <w:t xml:space="preserve"> </w:t>
      </w:r>
      <w:r w:rsidRPr="00336ACD">
        <w:rPr>
          <w:b/>
        </w:rPr>
        <w:t>Figure 25</w:t>
      </w:r>
      <w:r>
        <w:t>.</w:t>
      </w:r>
    </w:p>
    <w:p w14:paraId="7A3ED5F7" w14:textId="77777777" w:rsidR="00F24278" w:rsidRDefault="00F24278" w:rsidP="00F24278">
      <w:pPr>
        <w:pStyle w:val="BodyText"/>
      </w:pPr>
    </w:p>
    <w:p w14:paraId="57A35AF7" w14:textId="77777777" w:rsidR="00F24278" w:rsidRDefault="00F24278" w:rsidP="00F24278">
      <w:pPr>
        <w:pStyle w:val="Figure"/>
      </w:pPr>
      <w:r>
        <w:rPr>
          <w:noProof/>
        </w:rPr>
        <w:drawing>
          <wp:inline distT="0" distB="0" distL="0" distR="0" wp14:anchorId="4D52442F" wp14:editId="680EA25A">
            <wp:extent cx="6400800" cy="248539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400800" cy="2485390"/>
                    </a:xfrm>
                    <a:prstGeom prst="rect">
                      <a:avLst/>
                    </a:prstGeom>
                  </pic:spPr>
                </pic:pic>
              </a:graphicData>
            </a:graphic>
          </wp:inline>
        </w:drawing>
      </w:r>
    </w:p>
    <w:p w14:paraId="30E5A7D9" w14:textId="77777777" w:rsidR="00F24278" w:rsidRDefault="00F24278" w:rsidP="00F24278">
      <w:pPr>
        <w:pStyle w:val="FigureCaption"/>
      </w:pPr>
      <w:r w:rsidRPr="00336ACD">
        <w:rPr>
          <w:rStyle w:val="FigureCaptionBoldChar"/>
        </w:rPr>
        <w:t>Figure 25:</w:t>
      </w:r>
      <w:r>
        <w:t xml:space="preserve"> You can track each build as it’s deployed through your environments.</w:t>
      </w:r>
    </w:p>
    <w:p w14:paraId="7564FBCE" w14:textId="77777777" w:rsidR="00F24278" w:rsidRDefault="00F24278" w:rsidP="00F24278">
      <w:pPr>
        <w:pStyle w:val="BodyText"/>
      </w:pPr>
    </w:p>
    <w:p w14:paraId="3E1D1515" w14:textId="77777777" w:rsidR="00F24278" w:rsidRDefault="00F24278" w:rsidP="00F24278">
      <w:pPr>
        <w:pStyle w:val="BodyText"/>
      </w:pPr>
      <w:r>
        <w:t xml:space="preserve">Earlier in this article, I discussed the three distinct types of environments in a DevOps pipeline. In your organization, you may need multiple instances of one or more of the environment types, but in the application here, you have one environment per type for demonstration purposes. </w:t>
      </w:r>
      <w:r w:rsidRPr="00336ACD">
        <w:rPr>
          <w:b/>
        </w:rPr>
        <w:t>Figure 26</w:t>
      </w:r>
      <w:r>
        <w:t xml:space="preserve"> shows the environments configured in series.</w:t>
      </w:r>
    </w:p>
    <w:p w14:paraId="7CBE9B38" w14:textId="77777777" w:rsidR="00F24278" w:rsidRDefault="00F24278" w:rsidP="00F24278">
      <w:pPr>
        <w:pStyle w:val="BodyText"/>
      </w:pPr>
    </w:p>
    <w:p w14:paraId="3755B652" w14:textId="77777777" w:rsidR="00F24278" w:rsidRDefault="00F24278" w:rsidP="00F24278">
      <w:pPr>
        <w:pStyle w:val="Figure"/>
      </w:pPr>
      <w:r>
        <w:rPr>
          <w:noProof/>
        </w:rPr>
        <w:drawing>
          <wp:inline distT="0" distB="0" distL="0" distR="0" wp14:anchorId="14774A63" wp14:editId="3F6D7CD3">
            <wp:extent cx="6400800" cy="2080895"/>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400800" cy="2080895"/>
                    </a:xfrm>
                    <a:prstGeom prst="rect">
                      <a:avLst/>
                    </a:prstGeom>
                  </pic:spPr>
                </pic:pic>
              </a:graphicData>
            </a:graphic>
          </wp:inline>
        </w:drawing>
      </w:r>
    </w:p>
    <w:p w14:paraId="6E402EBE" w14:textId="77777777" w:rsidR="00F24278" w:rsidRDefault="00F24278" w:rsidP="00F24278">
      <w:pPr>
        <w:pStyle w:val="FigureCaption"/>
      </w:pPr>
      <w:r w:rsidRPr="00336ACD">
        <w:rPr>
          <w:rStyle w:val="FigureCaptionBoldChar"/>
        </w:rPr>
        <w:t>Figure 26:</w:t>
      </w:r>
      <w:r>
        <w:t xml:space="preserve"> Each environment receives the same release candidate as it’s promoted from the environment that precedes it.</w:t>
      </w:r>
    </w:p>
    <w:p w14:paraId="2F4E2FC0" w14:textId="77777777" w:rsidR="00F24278" w:rsidRDefault="00F24278" w:rsidP="00F24278">
      <w:pPr>
        <w:pStyle w:val="BodyText"/>
      </w:pPr>
    </w:p>
    <w:p w14:paraId="658AB4FC" w14:textId="77777777" w:rsidR="00F24278" w:rsidRDefault="00F24278" w:rsidP="00F24278">
      <w:pPr>
        <w:pStyle w:val="BodyText"/>
      </w:pPr>
      <w:r>
        <w:t>The source of the release configuration is a continuous integration build. The version number of the release inherits the build number. In most cases, you’ll configure your environments in series, starting with the TDD environment, then UAT, then Production. Your names may be different. The software is built and packaged exactly once, and the release candidate, in the form of NuGet packages, is deployed to each successive environment. Let’s see how to configure the Release Hub.</w:t>
      </w:r>
    </w:p>
    <w:p w14:paraId="154E1864" w14:textId="77777777" w:rsidR="00F24278" w:rsidRDefault="00F24278" w:rsidP="00F24278">
      <w:pPr>
        <w:pStyle w:val="PullQuote"/>
      </w:pPr>
      <w:r>
        <w:lastRenderedPageBreak/>
        <w:t>The source of the release configuration is a continuous integration build. The version number of the release inherits the build number</w:t>
      </w:r>
    </w:p>
    <w:p w14:paraId="700A7CEE" w14:textId="77777777" w:rsidR="00F24278" w:rsidRDefault="00F24278" w:rsidP="00F24278">
      <w:pPr>
        <w:pStyle w:val="BodyText"/>
      </w:pPr>
      <w:r w:rsidRPr="00DC4FF9">
        <w:rPr>
          <w:b/>
        </w:rPr>
        <w:t>Figure 27</w:t>
      </w:r>
      <w:r>
        <w:t xml:space="preserve"> shows how to enable builds to trigger a release.</w:t>
      </w:r>
    </w:p>
    <w:p w14:paraId="5D67B709" w14:textId="77777777" w:rsidR="00F24278" w:rsidRDefault="00F24278" w:rsidP="00F24278">
      <w:pPr>
        <w:pStyle w:val="BodyText"/>
      </w:pPr>
    </w:p>
    <w:p w14:paraId="6EE5C8C8" w14:textId="77777777" w:rsidR="00F24278" w:rsidRDefault="00F24278" w:rsidP="00F24278">
      <w:pPr>
        <w:pStyle w:val="Figure"/>
      </w:pPr>
      <w:r>
        <w:rPr>
          <w:noProof/>
        </w:rPr>
        <w:drawing>
          <wp:inline distT="0" distB="0" distL="0" distR="0" wp14:anchorId="665A81B8" wp14:editId="392F4C3B">
            <wp:extent cx="5629275" cy="2238375"/>
            <wp:effectExtent l="0" t="0" r="9525" b="952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29275" cy="2238375"/>
                    </a:xfrm>
                    <a:prstGeom prst="rect">
                      <a:avLst/>
                    </a:prstGeom>
                  </pic:spPr>
                </pic:pic>
              </a:graphicData>
            </a:graphic>
          </wp:inline>
        </w:drawing>
      </w:r>
    </w:p>
    <w:p w14:paraId="00548BCF" w14:textId="77777777" w:rsidR="00F24278" w:rsidRDefault="00F24278" w:rsidP="00F24278">
      <w:pPr>
        <w:pStyle w:val="FigureCaption"/>
      </w:pPr>
      <w:r w:rsidRPr="00DC4FF9">
        <w:rPr>
          <w:rStyle w:val="FigureCaptionBoldChar"/>
        </w:rPr>
        <w:t>Figure 27:</w:t>
      </w:r>
      <w:r>
        <w:t xml:space="preserve"> Configure the trigger in release artifacts to include builds from every branch.</w:t>
      </w:r>
    </w:p>
    <w:p w14:paraId="46842E16" w14:textId="77777777" w:rsidR="00F24278" w:rsidRDefault="00F24278" w:rsidP="00F24278">
      <w:pPr>
        <w:pStyle w:val="BodyText"/>
      </w:pPr>
    </w:p>
    <w:p w14:paraId="57E8CA13" w14:textId="77777777" w:rsidR="00F24278" w:rsidRDefault="00F24278" w:rsidP="00F24278">
      <w:pPr>
        <w:pStyle w:val="BodyText"/>
      </w:pPr>
      <w:r>
        <w:t>It is important to configure the Build branch for every branch. If you don’t, your feature branch builds won’t trigger a release, and you won’t be able to use your full-system test suites to validate these builds before executing your pull request.</w:t>
      </w:r>
    </w:p>
    <w:p w14:paraId="189D1917" w14:textId="77777777" w:rsidR="00F24278" w:rsidRDefault="00F24278" w:rsidP="00F24278">
      <w:pPr>
        <w:pStyle w:val="BodyText"/>
      </w:pPr>
    </w:p>
    <w:p w14:paraId="5DD84731" w14:textId="77777777" w:rsidR="00F24278" w:rsidRDefault="00F24278" w:rsidP="00F24278">
      <w:pPr>
        <w:pStyle w:val="BodyText"/>
      </w:pPr>
      <w:r>
        <w:t xml:space="preserve">When you edit the deployment process for an environment, you’ll want to make sure that the steps are the same from environment to environment. The best way to do this is to structure the deployment steps like you would a PowerShell script. That is, you factor the steps into functions that are called Task groups. </w:t>
      </w:r>
      <w:r w:rsidRPr="00DC4FF9">
        <w:rPr>
          <w:b/>
        </w:rPr>
        <w:t>Figure 28</w:t>
      </w:r>
      <w:r>
        <w:t xml:space="preserve"> shows the deployment process for your environments.</w:t>
      </w:r>
    </w:p>
    <w:p w14:paraId="4D3019B6" w14:textId="77777777" w:rsidR="00F24278" w:rsidRDefault="00F24278" w:rsidP="00F24278">
      <w:pPr>
        <w:pStyle w:val="BodyText"/>
      </w:pPr>
    </w:p>
    <w:p w14:paraId="49573F12" w14:textId="77777777" w:rsidR="00F24278" w:rsidRDefault="00F24278" w:rsidP="00F24278">
      <w:pPr>
        <w:pStyle w:val="Figure"/>
      </w:pPr>
      <w:r>
        <w:rPr>
          <w:noProof/>
        </w:rPr>
        <w:drawing>
          <wp:inline distT="0" distB="0" distL="0" distR="0" wp14:anchorId="668C4BD9" wp14:editId="2F46AA8F">
            <wp:extent cx="4133850" cy="2981325"/>
            <wp:effectExtent l="0" t="0" r="0" b="952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33850" cy="2981325"/>
                    </a:xfrm>
                    <a:prstGeom prst="rect">
                      <a:avLst/>
                    </a:prstGeom>
                  </pic:spPr>
                </pic:pic>
              </a:graphicData>
            </a:graphic>
          </wp:inline>
        </w:drawing>
      </w:r>
    </w:p>
    <w:p w14:paraId="331B7B38" w14:textId="77777777" w:rsidR="00F24278" w:rsidRDefault="00F24278" w:rsidP="00F24278">
      <w:pPr>
        <w:pStyle w:val="FigureCaption"/>
      </w:pPr>
      <w:r w:rsidRPr="00DC4FF9">
        <w:rPr>
          <w:rStyle w:val="FigureCaptionBoldChar"/>
        </w:rPr>
        <w:t>Figure 28:</w:t>
      </w:r>
      <w:r>
        <w:t xml:space="preserve"> Each deployment process is essentially just a pointer to the Task groups that are relevant for the environment.</w:t>
      </w:r>
    </w:p>
    <w:p w14:paraId="4052D97A" w14:textId="77777777" w:rsidR="00F24278" w:rsidRDefault="00F24278" w:rsidP="00F24278">
      <w:pPr>
        <w:pStyle w:val="BodyText"/>
      </w:pPr>
    </w:p>
    <w:p w14:paraId="456DF7C2" w14:textId="77777777" w:rsidR="00F24278" w:rsidRDefault="00F24278" w:rsidP="00F24278">
      <w:pPr>
        <w:pStyle w:val="BodyText"/>
      </w:pPr>
      <w:r>
        <w:t xml:space="preserve">You use task groups so that you don’t violate the DRY principle (Don’t Repeat Yourself) when specifying what steps should happen per environment. Because you have three environments, you don’t want to copy and paste steps across environments. </w:t>
      </w:r>
    </w:p>
    <w:p w14:paraId="26C6B089" w14:textId="77777777" w:rsidR="00F24278" w:rsidRDefault="00F24278" w:rsidP="00F24278">
      <w:pPr>
        <w:pStyle w:val="BodyText"/>
      </w:pPr>
    </w:p>
    <w:p w14:paraId="2F6F3031" w14:textId="77777777" w:rsidR="00F24278" w:rsidRDefault="00F24278" w:rsidP="00F24278">
      <w:pPr>
        <w:pStyle w:val="BodyText"/>
      </w:pPr>
      <w:r>
        <w:t xml:space="preserve">When you </w:t>
      </w:r>
      <w:proofErr w:type="gramStart"/>
      <w:r>
        <w:t>look into</w:t>
      </w:r>
      <w:proofErr w:type="gramEnd"/>
      <w:r>
        <w:t xml:space="preserve"> the task groups for the deployment of each of your application components, you see the individual steps. </w:t>
      </w:r>
      <w:r w:rsidRPr="00DC4FF9">
        <w:rPr>
          <w:b/>
        </w:rPr>
        <w:t>Figure 29</w:t>
      </w:r>
      <w:r>
        <w:t xml:space="preserve"> drills down into the individual steps needed in order to deploy the database.</w:t>
      </w:r>
    </w:p>
    <w:p w14:paraId="57989906" w14:textId="77777777" w:rsidR="00F24278" w:rsidRDefault="00F24278" w:rsidP="00F24278">
      <w:pPr>
        <w:pStyle w:val="BodyText"/>
      </w:pPr>
    </w:p>
    <w:p w14:paraId="14335120" w14:textId="77777777" w:rsidR="00F24278" w:rsidRDefault="00F24278" w:rsidP="00F24278">
      <w:pPr>
        <w:pStyle w:val="Figure"/>
      </w:pPr>
      <w:r>
        <w:rPr>
          <w:noProof/>
        </w:rPr>
        <w:drawing>
          <wp:inline distT="0" distB="0" distL="0" distR="0" wp14:anchorId="450A0AEA" wp14:editId="2D517A1E">
            <wp:extent cx="3762375" cy="2819400"/>
            <wp:effectExtent l="0" t="0" r="9525"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762375" cy="2819400"/>
                    </a:xfrm>
                    <a:prstGeom prst="rect">
                      <a:avLst/>
                    </a:prstGeom>
                  </pic:spPr>
                </pic:pic>
              </a:graphicData>
            </a:graphic>
          </wp:inline>
        </w:drawing>
      </w:r>
    </w:p>
    <w:p w14:paraId="0FBBF937" w14:textId="77777777" w:rsidR="00F24278" w:rsidRDefault="00F24278" w:rsidP="00F24278">
      <w:pPr>
        <w:pStyle w:val="FigureCaption"/>
      </w:pPr>
      <w:r w:rsidRPr="00DC4FF9">
        <w:rPr>
          <w:b/>
          <w:bCs/>
        </w:rPr>
        <w:t>Figure 29:</w:t>
      </w:r>
      <w:r>
        <w:t xml:space="preserve"> Four steps create and deploy your SQL Server database.</w:t>
      </w:r>
    </w:p>
    <w:p w14:paraId="39547C7C" w14:textId="77777777" w:rsidR="00F24278" w:rsidRDefault="00F24278" w:rsidP="00F24278">
      <w:pPr>
        <w:pStyle w:val="BodyText"/>
      </w:pPr>
    </w:p>
    <w:p w14:paraId="79388227" w14:textId="77777777" w:rsidR="00F24278" w:rsidRDefault="00F24278" w:rsidP="00F24278">
      <w:pPr>
        <w:pStyle w:val="BodyText"/>
      </w:pPr>
      <w:r>
        <w:t xml:space="preserve">These same steps can run on every environment because the behavior varies by the parameters that are passed in. For instance, in your TDD environment, you want to destroy the database and recreate it from scratch. In the UAT and Production environments, you want to preserve your data. A </w:t>
      </w:r>
      <w:proofErr w:type="gramStart"/>
      <w:r>
        <w:t>variable dictates</w:t>
      </w:r>
      <w:proofErr w:type="gramEnd"/>
      <w:r>
        <w:t xml:space="preserve"> which of these paths is taken per environment. </w:t>
      </w:r>
      <w:r w:rsidRPr="00DC4FF9">
        <w:rPr>
          <w:b/>
        </w:rPr>
        <w:t>Figure 30</w:t>
      </w:r>
      <w:r>
        <w:t xml:space="preserve"> shows the full list of variables used by this release configuration.</w:t>
      </w:r>
    </w:p>
    <w:p w14:paraId="07E5FB99" w14:textId="77777777" w:rsidR="00F24278" w:rsidRDefault="00F24278" w:rsidP="00F24278">
      <w:pPr>
        <w:pStyle w:val="BodyText"/>
      </w:pPr>
    </w:p>
    <w:p w14:paraId="1CF1BF93" w14:textId="77777777" w:rsidR="00F24278" w:rsidRDefault="00F24278" w:rsidP="00F24278">
      <w:pPr>
        <w:pStyle w:val="Figure"/>
      </w:pPr>
      <w:r w:rsidRPr="00F32D15">
        <w:rPr>
          <w:noProof/>
        </w:rPr>
        <w:lastRenderedPageBreak/>
        <w:drawing>
          <wp:inline distT="0" distB="0" distL="0" distR="0" wp14:anchorId="29C692D6" wp14:editId="41FBEF96">
            <wp:extent cx="6400800" cy="5817870"/>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400800" cy="5817870"/>
                    </a:xfrm>
                    <a:prstGeom prst="rect">
                      <a:avLst/>
                    </a:prstGeom>
                  </pic:spPr>
                </pic:pic>
              </a:graphicData>
            </a:graphic>
          </wp:inline>
        </w:drawing>
      </w:r>
    </w:p>
    <w:p w14:paraId="014F3D94" w14:textId="77777777" w:rsidR="00F24278" w:rsidRDefault="00F24278" w:rsidP="00F24278">
      <w:pPr>
        <w:pStyle w:val="FigureCaption"/>
      </w:pPr>
      <w:r w:rsidRPr="00DC4FF9">
        <w:rPr>
          <w:rStyle w:val="FigureCaptionBoldChar"/>
        </w:rPr>
        <w:t>Figure 30:</w:t>
      </w:r>
      <w:r>
        <w:t xml:space="preserve"> The release behavior varies by the variables that are configured.</w:t>
      </w:r>
    </w:p>
    <w:p w14:paraId="57F9FBB4" w14:textId="77777777" w:rsidR="00F24278" w:rsidRDefault="00F24278" w:rsidP="00F24278">
      <w:pPr>
        <w:pStyle w:val="BodyText"/>
      </w:pPr>
    </w:p>
    <w:p w14:paraId="2C3A174A" w14:textId="77777777" w:rsidR="00F24278" w:rsidRDefault="00F24278" w:rsidP="00F24278">
      <w:pPr>
        <w:pStyle w:val="BodyText"/>
      </w:pPr>
      <w:r>
        <w:t>Take a critical look at the values of the variables. This is true for the build variables, and it’s true for release variables as well. Some of the values are scalar values, but many of the values are templated patterns. Because you’re going to be creating many releases, you need values that are going to be resilient to the repetitive nature of DevOps. You also need a variable scheme that is going to be resilient to the inherent parallelism of deploying release candidates from multiple branches, all at the same time. Because of this dynamic, you can’t assume that only one release will be deploying at a time. Each of these values need to be unique, so you assemble the values based on properties of the release itself, the environment you are deploying to, and the component of the application being deployed. You’ll want to have a design session with your team to determine how to dynamically build your variables.</w:t>
      </w:r>
    </w:p>
    <w:p w14:paraId="4B9C2A3A" w14:textId="77777777" w:rsidR="00F24278" w:rsidRDefault="00F24278" w:rsidP="00F24278">
      <w:pPr>
        <w:pStyle w:val="PullQuote"/>
      </w:pPr>
      <w:r>
        <w:t>Because you’re going to be creating many releases, you need values that are going to be resilient to the repetitive nature of DevOps</w:t>
      </w:r>
    </w:p>
    <w:p w14:paraId="410CE3B0" w14:textId="77777777" w:rsidR="00F24278" w:rsidRDefault="00F24278" w:rsidP="00F24278">
      <w:bookmarkStart w:id="0" w:name="_GoBack"/>
      <w:bookmarkEnd w:id="0"/>
    </w:p>
    <w:sectPr w:rsidR="00F24278">
      <w:pgSz w:w="12240" w:h="15840"/>
      <w:pgMar w:top="720" w:right="1080" w:bottom="72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DD4E2B" w14:textId="77777777" w:rsidR="00870E8A" w:rsidRDefault="00870E8A" w:rsidP="00911B88">
      <w:r>
        <w:separator/>
      </w:r>
    </w:p>
  </w:endnote>
  <w:endnote w:type="continuationSeparator" w:id="0">
    <w:p w14:paraId="2B8EA482" w14:textId="77777777" w:rsidR="00870E8A" w:rsidRDefault="00870E8A" w:rsidP="00911B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Light">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88FB4D" w14:textId="77777777" w:rsidR="00870E8A" w:rsidRDefault="00870E8A" w:rsidP="00911B88">
      <w:r>
        <w:separator/>
      </w:r>
    </w:p>
  </w:footnote>
  <w:footnote w:type="continuationSeparator" w:id="0">
    <w:p w14:paraId="55B7D7B7" w14:textId="77777777" w:rsidR="00870E8A" w:rsidRDefault="00870E8A" w:rsidP="00911B8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10E95"/>
    <w:multiLevelType w:val="multilevel"/>
    <w:tmpl w:val="41D62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7A1F35"/>
    <w:multiLevelType w:val="hybridMultilevel"/>
    <w:tmpl w:val="EC50571E"/>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634923"/>
    <w:multiLevelType w:val="hybridMultilevel"/>
    <w:tmpl w:val="608EAE96"/>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44753A"/>
    <w:multiLevelType w:val="hybridMultilevel"/>
    <w:tmpl w:val="2CD8A2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AC4679"/>
    <w:multiLevelType w:val="multilevel"/>
    <w:tmpl w:val="CBFC1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467F24"/>
    <w:multiLevelType w:val="hybridMultilevel"/>
    <w:tmpl w:val="B436FA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09967F2"/>
    <w:multiLevelType w:val="hybridMultilevel"/>
    <w:tmpl w:val="F4C848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4077C8F"/>
    <w:multiLevelType w:val="hybridMultilevel"/>
    <w:tmpl w:val="B6DED4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62F4985"/>
    <w:multiLevelType w:val="hybridMultilevel"/>
    <w:tmpl w:val="536CD3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842402A"/>
    <w:multiLevelType w:val="hybridMultilevel"/>
    <w:tmpl w:val="96E2EF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9EB053A"/>
    <w:multiLevelType w:val="hybridMultilevel"/>
    <w:tmpl w:val="8572D2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08E1444"/>
    <w:multiLevelType w:val="hybridMultilevel"/>
    <w:tmpl w:val="6AA0FF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1B55103"/>
    <w:multiLevelType w:val="hybridMultilevel"/>
    <w:tmpl w:val="72CA2F7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3077BC6"/>
    <w:multiLevelType w:val="hybridMultilevel"/>
    <w:tmpl w:val="6BFC0C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460637"/>
    <w:multiLevelType w:val="multilevel"/>
    <w:tmpl w:val="1E46A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9560395"/>
    <w:multiLevelType w:val="hybridMultilevel"/>
    <w:tmpl w:val="164473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D0001D4"/>
    <w:multiLevelType w:val="hybridMultilevel"/>
    <w:tmpl w:val="9274DA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7CB12C9"/>
    <w:multiLevelType w:val="hybridMultilevel"/>
    <w:tmpl w:val="ACF4B0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B53DBBD"/>
    <w:multiLevelType w:val="multilevel"/>
    <w:tmpl w:val="0CAA54F2"/>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9" w15:restartNumberingAfterBreak="0">
    <w:nsid w:val="3C3861EC"/>
    <w:multiLevelType w:val="hybridMultilevel"/>
    <w:tmpl w:val="B010FF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0872F9A"/>
    <w:multiLevelType w:val="hybridMultilevel"/>
    <w:tmpl w:val="D13ED7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6765364"/>
    <w:multiLevelType w:val="hybridMultilevel"/>
    <w:tmpl w:val="E9AC13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999329F"/>
    <w:multiLevelType w:val="hybridMultilevel"/>
    <w:tmpl w:val="B6E85E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C07650E"/>
    <w:multiLevelType w:val="hybridMultilevel"/>
    <w:tmpl w:val="8A9ACECE"/>
    <w:lvl w:ilvl="0" w:tplc="3514A752">
      <w:start w:val="1"/>
      <w:numFmt w:val="bullet"/>
      <w:pStyle w:val="BullettedBodyTex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4CD717BB"/>
    <w:multiLevelType w:val="hybridMultilevel"/>
    <w:tmpl w:val="0B18FF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ED76724"/>
    <w:multiLevelType w:val="hybridMultilevel"/>
    <w:tmpl w:val="41108E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FB81CA5"/>
    <w:multiLevelType w:val="hybridMultilevel"/>
    <w:tmpl w:val="158E5F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1225602"/>
    <w:multiLevelType w:val="hybridMultilevel"/>
    <w:tmpl w:val="852C7D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1720DAE"/>
    <w:multiLevelType w:val="hybridMultilevel"/>
    <w:tmpl w:val="4A8E9CD0"/>
    <w:lvl w:ilvl="0" w:tplc="3D20462C">
      <w:start w:val="1"/>
      <w:numFmt w:val="decimal"/>
      <w:pStyle w:val="NumberedBodyText"/>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15:restartNumberingAfterBreak="0">
    <w:nsid w:val="6AE656D8"/>
    <w:multiLevelType w:val="hybridMultilevel"/>
    <w:tmpl w:val="B14A06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CF36DE6"/>
    <w:multiLevelType w:val="hybridMultilevel"/>
    <w:tmpl w:val="6B8A1D2E"/>
    <w:lvl w:ilvl="0" w:tplc="BE5C43C2">
      <w:start w:val="1"/>
      <w:numFmt w:val="bullet"/>
      <w:pStyle w:val="BulletedList--Publishing"/>
      <w:lvlText w:val=""/>
      <w:lvlJc w:val="left"/>
      <w:pPr>
        <w:ind w:left="360" w:hanging="360"/>
      </w:pPr>
      <w:rPr>
        <w:rFonts w:ascii="Symbol" w:hAnsi="Symbol" w:hint="default"/>
      </w:rPr>
    </w:lvl>
    <w:lvl w:ilvl="1" w:tplc="C90EBEE4">
      <w:start w:val="1"/>
      <w:numFmt w:val="bullet"/>
      <w:pStyle w:val="BulletedLis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71004F6B"/>
    <w:multiLevelType w:val="hybridMultilevel"/>
    <w:tmpl w:val="2996BB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8760843"/>
    <w:multiLevelType w:val="hybridMultilevel"/>
    <w:tmpl w:val="E63C2764"/>
    <w:lvl w:ilvl="0" w:tplc="1AD4A770">
      <w:numFmt w:val="bullet"/>
      <w:lvlText w:val="-"/>
      <w:lvlJc w:val="left"/>
      <w:pPr>
        <w:ind w:left="405" w:hanging="360"/>
      </w:pPr>
      <w:rPr>
        <w:rFonts w:ascii="Calibri" w:eastAsia="Times New Roman" w:hAnsi="Calibri" w:cs="Calibri"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33" w15:restartNumberingAfterBreak="0">
    <w:nsid w:val="7C034422"/>
    <w:multiLevelType w:val="hybridMultilevel"/>
    <w:tmpl w:val="365A6E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8"/>
  </w:num>
  <w:num w:numId="2">
    <w:abstractNumId w:val="23"/>
  </w:num>
  <w:num w:numId="3">
    <w:abstractNumId w:val="12"/>
  </w:num>
  <w:num w:numId="4">
    <w:abstractNumId w:val="25"/>
  </w:num>
  <w:num w:numId="5">
    <w:abstractNumId w:val="26"/>
  </w:num>
  <w:num w:numId="6">
    <w:abstractNumId w:val="19"/>
  </w:num>
  <w:num w:numId="7">
    <w:abstractNumId w:val="11"/>
  </w:num>
  <w:num w:numId="8">
    <w:abstractNumId w:val="10"/>
  </w:num>
  <w:num w:numId="9">
    <w:abstractNumId w:val="9"/>
  </w:num>
  <w:num w:numId="10">
    <w:abstractNumId w:val="0"/>
  </w:num>
  <w:num w:numId="11">
    <w:abstractNumId w:val="4"/>
  </w:num>
  <w:num w:numId="12">
    <w:abstractNumId w:val="21"/>
  </w:num>
  <w:num w:numId="13">
    <w:abstractNumId w:val="17"/>
  </w:num>
  <w:num w:numId="14">
    <w:abstractNumId w:val="16"/>
  </w:num>
  <w:num w:numId="15">
    <w:abstractNumId w:val="8"/>
  </w:num>
  <w:num w:numId="16">
    <w:abstractNumId w:val="20"/>
  </w:num>
  <w:num w:numId="17">
    <w:abstractNumId w:val="6"/>
  </w:num>
  <w:num w:numId="18">
    <w:abstractNumId w:val="15"/>
  </w:num>
  <w:num w:numId="19">
    <w:abstractNumId w:val="3"/>
  </w:num>
  <w:num w:numId="20">
    <w:abstractNumId w:val="31"/>
  </w:num>
  <w:num w:numId="21">
    <w:abstractNumId w:val="13"/>
  </w:num>
  <w:num w:numId="22">
    <w:abstractNumId w:val="24"/>
  </w:num>
  <w:num w:numId="23">
    <w:abstractNumId w:val="1"/>
  </w:num>
  <w:num w:numId="24">
    <w:abstractNumId w:val="32"/>
  </w:num>
  <w:num w:numId="25">
    <w:abstractNumId w:val="28"/>
    <w:lvlOverride w:ilvl="0">
      <w:startOverride w:val="1"/>
    </w:lvlOverride>
  </w:num>
  <w:num w:numId="26">
    <w:abstractNumId w:val="14"/>
  </w:num>
  <w:num w:numId="27">
    <w:abstractNumId w:val="28"/>
    <w:lvlOverride w:ilvl="0">
      <w:startOverride w:val="1"/>
    </w:lvlOverride>
  </w:num>
  <w:num w:numId="28">
    <w:abstractNumId w:val="28"/>
    <w:lvlOverride w:ilvl="0">
      <w:startOverride w:val="1"/>
    </w:lvlOverride>
  </w:num>
  <w:num w:numId="29">
    <w:abstractNumId w:val="30"/>
  </w:num>
  <w:num w:numId="30">
    <w:abstractNumId w:val="18"/>
  </w:num>
  <w:num w:numId="31">
    <w:abstractNumId w:val="29"/>
  </w:num>
  <w:num w:numId="32">
    <w:abstractNumId w:val="27"/>
  </w:num>
  <w:num w:numId="33">
    <w:abstractNumId w:val="33"/>
  </w:num>
  <w:num w:numId="34">
    <w:abstractNumId w:val="23"/>
  </w:num>
  <w:num w:numId="35">
    <w:abstractNumId w:val="22"/>
  </w:num>
  <w:num w:numId="36">
    <w:abstractNumId w:val="5"/>
  </w:num>
  <w:num w:numId="37">
    <w:abstractNumId w:val="2"/>
  </w:num>
  <w:num w:numId="3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removePersonalInformation/>
  <w:removeDateAndTime/>
  <w:activeWritingStyle w:appName="MSWord" w:lang="en-US" w:vendorID="64" w:dllVersion="6" w:nlCheck="1" w:checkStyle="1"/>
  <w:activeWritingStyle w:appName="MSWord" w:lang="en-US" w:vendorID="64" w:dllVersion="0" w:nlCheck="1" w:checkStyle="0"/>
  <w:proofState w:spelling="clean" w:grammar="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18DD"/>
    <w:rsid w:val="0000062E"/>
    <w:rsid w:val="000049EB"/>
    <w:rsid w:val="000071D2"/>
    <w:rsid w:val="0000726C"/>
    <w:rsid w:val="000117EB"/>
    <w:rsid w:val="000137DB"/>
    <w:rsid w:val="00013AD1"/>
    <w:rsid w:val="00014114"/>
    <w:rsid w:val="0001538A"/>
    <w:rsid w:val="00015AE1"/>
    <w:rsid w:val="00017B8F"/>
    <w:rsid w:val="00017ECB"/>
    <w:rsid w:val="0002110D"/>
    <w:rsid w:val="000239A6"/>
    <w:rsid w:val="000300D4"/>
    <w:rsid w:val="00034390"/>
    <w:rsid w:val="000346C6"/>
    <w:rsid w:val="00036109"/>
    <w:rsid w:val="00041572"/>
    <w:rsid w:val="0004599A"/>
    <w:rsid w:val="00047331"/>
    <w:rsid w:val="00055190"/>
    <w:rsid w:val="00057B3F"/>
    <w:rsid w:val="00061365"/>
    <w:rsid w:val="00063DD7"/>
    <w:rsid w:val="000640DB"/>
    <w:rsid w:val="0006560E"/>
    <w:rsid w:val="00066E1D"/>
    <w:rsid w:val="00071D41"/>
    <w:rsid w:val="00073D1E"/>
    <w:rsid w:val="000748BD"/>
    <w:rsid w:val="000775D6"/>
    <w:rsid w:val="00077F1B"/>
    <w:rsid w:val="00080C37"/>
    <w:rsid w:val="000813C3"/>
    <w:rsid w:val="00084D95"/>
    <w:rsid w:val="00085126"/>
    <w:rsid w:val="00087972"/>
    <w:rsid w:val="000909C3"/>
    <w:rsid w:val="00091304"/>
    <w:rsid w:val="000922A1"/>
    <w:rsid w:val="00094E21"/>
    <w:rsid w:val="00095506"/>
    <w:rsid w:val="0009683C"/>
    <w:rsid w:val="00096C74"/>
    <w:rsid w:val="00097DE2"/>
    <w:rsid w:val="000A1B05"/>
    <w:rsid w:val="000A2736"/>
    <w:rsid w:val="000A27C0"/>
    <w:rsid w:val="000A55CF"/>
    <w:rsid w:val="000A6DF8"/>
    <w:rsid w:val="000B0532"/>
    <w:rsid w:val="000B0704"/>
    <w:rsid w:val="000B2E38"/>
    <w:rsid w:val="000B49FE"/>
    <w:rsid w:val="000B558E"/>
    <w:rsid w:val="000B5C54"/>
    <w:rsid w:val="000B659F"/>
    <w:rsid w:val="000C14B7"/>
    <w:rsid w:val="000C53A2"/>
    <w:rsid w:val="000C7487"/>
    <w:rsid w:val="000D022D"/>
    <w:rsid w:val="000D034D"/>
    <w:rsid w:val="000D0A12"/>
    <w:rsid w:val="000D2181"/>
    <w:rsid w:val="000D3677"/>
    <w:rsid w:val="000D51D8"/>
    <w:rsid w:val="000E00E6"/>
    <w:rsid w:val="000E0841"/>
    <w:rsid w:val="000E27BB"/>
    <w:rsid w:val="000E3A00"/>
    <w:rsid w:val="000F2523"/>
    <w:rsid w:val="000F25C1"/>
    <w:rsid w:val="000F318D"/>
    <w:rsid w:val="000F4950"/>
    <w:rsid w:val="000F6696"/>
    <w:rsid w:val="000F6957"/>
    <w:rsid w:val="001039D7"/>
    <w:rsid w:val="00103F2C"/>
    <w:rsid w:val="001054A2"/>
    <w:rsid w:val="0010698C"/>
    <w:rsid w:val="00107918"/>
    <w:rsid w:val="00107AC9"/>
    <w:rsid w:val="00110C8A"/>
    <w:rsid w:val="001124B8"/>
    <w:rsid w:val="00113687"/>
    <w:rsid w:val="00113972"/>
    <w:rsid w:val="001158F9"/>
    <w:rsid w:val="00116C94"/>
    <w:rsid w:val="00116F9B"/>
    <w:rsid w:val="00121D0D"/>
    <w:rsid w:val="001229FF"/>
    <w:rsid w:val="001268F5"/>
    <w:rsid w:val="00126B17"/>
    <w:rsid w:val="00131BE0"/>
    <w:rsid w:val="00132DCF"/>
    <w:rsid w:val="00133F96"/>
    <w:rsid w:val="001340E3"/>
    <w:rsid w:val="001352CD"/>
    <w:rsid w:val="0013593F"/>
    <w:rsid w:val="001363C9"/>
    <w:rsid w:val="00141D45"/>
    <w:rsid w:val="001448BE"/>
    <w:rsid w:val="00145035"/>
    <w:rsid w:val="00146700"/>
    <w:rsid w:val="001512C0"/>
    <w:rsid w:val="00152524"/>
    <w:rsid w:val="00153180"/>
    <w:rsid w:val="00154406"/>
    <w:rsid w:val="00154C87"/>
    <w:rsid w:val="001620EC"/>
    <w:rsid w:val="00163C84"/>
    <w:rsid w:val="001644B6"/>
    <w:rsid w:val="00170374"/>
    <w:rsid w:val="00171384"/>
    <w:rsid w:val="001726C3"/>
    <w:rsid w:val="00174593"/>
    <w:rsid w:val="00175DFC"/>
    <w:rsid w:val="001800C0"/>
    <w:rsid w:val="001818C2"/>
    <w:rsid w:val="0018370A"/>
    <w:rsid w:val="00183B3E"/>
    <w:rsid w:val="00183DEE"/>
    <w:rsid w:val="00190C0A"/>
    <w:rsid w:val="00196248"/>
    <w:rsid w:val="00196460"/>
    <w:rsid w:val="001A012B"/>
    <w:rsid w:val="001A205F"/>
    <w:rsid w:val="001A4A13"/>
    <w:rsid w:val="001A5065"/>
    <w:rsid w:val="001A60F2"/>
    <w:rsid w:val="001B1F1A"/>
    <w:rsid w:val="001B31B3"/>
    <w:rsid w:val="001B38AF"/>
    <w:rsid w:val="001B4194"/>
    <w:rsid w:val="001C009D"/>
    <w:rsid w:val="001C3030"/>
    <w:rsid w:val="001C6EB0"/>
    <w:rsid w:val="001C7AD6"/>
    <w:rsid w:val="001D1775"/>
    <w:rsid w:val="001D3E68"/>
    <w:rsid w:val="001D7C08"/>
    <w:rsid w:val="001E29DE"/>
    <w:rsid w:val="001F0B7C"/>
    <w:rsid w:val="001F2FF4"/>
    <w:rsid w:val="001F32DC"/>
    <w:rsid w:val="001F381B"/>
    <w:rsid w:val="001F3BC5"/>
    <w:rsid w:val="001F499E"/>
    <w:rsid w:val="00203497"/>
    <w:rsid w:val="002058B3"/>
    <w:rsid w:val="00211E4F"/>
    <w:rsid w:val="00215937"/>
    <w:rsid w:val="00217B3A"/>
    <w:rsid w:val="00217BC9"/>
    <w:rsid w:val="002212A3"/>
    <w:rsid w:val="00223508"/>
    <w:rsid w:val="00224179"/>
    <w:rsid w:val="002250E6"/>
    <w:rsid w:val="002261AE"/>
    <w:rsid w:val="00227D51"/>
    <w:rsid w:val="00233ED5"/>
    <w:rsid w:val="00235E4B"/>
    <w:rsid w:val="00236791"/>
    <w:rsid w:val="00237216"/>
    <w:rsid w:val="002378F4"/>
    <w:rsid w:val="002409E5"/>
    <w:rsid w:val="00241F8C"/>
    <w:rsid w:val="002455BB"/>
    <w:rsid w:val="0025267C"/>
    <w:rsid w:val="00252A94"/>
    <w:rsid w:val="002567D8"/>
    <w:rsid w:val="00261F2B"/>
    <w:rsid w:val="00262231"/>
    <w:rsid w:val="0026464D"/>
    <w:rsid w:val="0026538F"/>
    <w:rsid w:val="00265C35"/>
    <w:rsid w:val="00271A60"/>
    <w:rsid w:val="00272E93"/>
    <w:rsid w:val="002743DD"/>
    <w:rsid w:val="0027587A"/>
    <w:rsid w:val="00280B0F"/>
    <w:rsid w:val="00284DF8"/>
    <w:rsid w:val="00285A05"/>
    <w:rsid w:val="00290680"/>
    <w:rsid w:val="00290E05"/>
    <w:rsid w:val="00295312"/>
    <w:rsid w:val="00295BEC"/>
    <w:rsid w:val="002A487C"/>
    <w:rsid w:val="002A6604"/>
    <w:rsid w:val="002B08D3"/>
    <w:rsid w:val="002B326B"/>
    <w:rsid w:val="002B577B"/>
    <w:rsid w:val="002B6BB2"/>
    <w:rsid w:val="002B7B1B"/>
    <w:rsid w:val="002C051C"/>
    <w:rsid w:val="002C17E6"/>
    <w:rsid w:val="002C551E"/>
    <w:rsid w:val="002C6E3B"/>
    <w:rsid w:val="002D0E25"/>
    <w:rsid w:val="002D0EE6"/>
    <w:rsid w:val="002D0F78"/>
    <w:rsid w:val="002D25C2"/>
    <w:rsid w:val="002D5182"/>
    <w:rsid w:val="002D7C45"/>
    <w:rsid w:val="002E0BBD"/>
    <w:rsid w:val="002E16F9"/>
    <w:rsid w:val="002E1E3F"/>
    <w:rsid w:val="002E6BFD"/>
    <w:rsid w:val="002E7CBC"/>
    <w:rsid w:val="002F0CE8"/>
    <w:rsid w:val="002F7156"/>
    <w:rsid w:val="00302510"/>
    <w:rsid w:val="00305470"/>
    <w:rsid w:val="00310381"/>
    <w:rsid w:val="00311509"/>
    <w:rsid w:val="0031157A"/>
    <w:rsid w:val="00313549"/>
    <w:rsid w:val="00314B67"/>
    <w:rsid w:val="00316A9F"/>
    <w:rsid w:val="00316B57"/>
    <w:rsid w:val="00322F2B"/>
    <w:rsid w:val="003230A1"/>
    <w:rsid w:val="0032484B"/>
    <w:rsid w:val="00327EE4"/>
    <w:rsid w:val="00330C4A"/>
    <w:rsid w:val="003313DD"/>
    <w:rsid w:val="003345EB"/>
    <w:rsid w:val="003353DD"/>
    <w:rsid w:val="00335FBA"/>
    <w:rsid w:val="00336ACD"/>
    <w:rsid w:val="00340D44"/>
    <w:rsid w:val="003430D7"/>
    <w:rsid w:val="0034490D"/>
    <w:rsid w:val="0035003D"/>
    <w:rsid w:val="0035122A"/>
    <w:rsid w:val="0035680B"/>
    <w:rsid w:val="00356827"/>
    <w:rsid w:val="00362144"/>
    <w:rsid w:val="003630E1"/>
    <w:rsid w:val="003638C3"/>
    <w:rsid w:val="00364AE2"/>
    <w:rsid w:val="00364E6F"/>
    <w:rsid w:val="00366403"/>
    <w:rsid w:val="00366A58"/>
    <w:rsid w:val="00367A41"/>
    <w:rsid w:val="003715E9"/>
    <w:rsid w:val="00374046"/>
    <w:rsid w:val="0037759A"/>
    <w:rsid w:val="00377B48"/>
    <w:rsid w:val="00380BE9"/>
    <w:rsid w:val="00384F4A"/>
    <w:rsid w:val="003851BA"/>
    <w:rsid w:val="00385240"/>
    <w:rsid w:val="0038711F"/>
    <w:rsid w:val="00387D8D"/>
    <w:rsid w:val="003941C2"/>
    <w:rsid w:val="003A136A"/>
    <w:rsid w:val="003A2BFD"/>
    <w:rsid w:val="003A32C9"/>
    <w:rsid w:val="003A45E9"/>
    <w:rsid w:val="003A774A"/>
    <w:rsid w:val="003A7994"/>
    <w:rsid w:val="003B2595"/>
    <w:rsid w:val="003B3BB6"/>
    <w:rsid w:val="003B700F"/>
    <w:rsid w:val="003C15B3"/>
    <w:rsid w:val="003C3EBA"/>
    <w:rsid w:val="003C6394"/>
    <w:rsid w:val="003C677E"/>
    <w:rsid w:val="003C6E15"/>
    <w:rsid w:val="003C754E"/>
    <w:rsid w:val="003D207A"/>
    <w:rsid w:val="003E0182"/>
    <w:rsid w:val="003E12AA"/>
    <w:rsid w:val="003E1A60"/>
    <w:rsid w:val="003E24F1"/>
    <w:rsid w:val="003E60BA"/>
    <w:rsid w:val="003E6F8A"/>
    <w:rsid w:val="003E7909"/>
    <w:rsid w:val="003E7A7E"/>
    <w:rsid w:val="003E7BC7"/>
    <w:rsid w:val="003E7CD8"/>
    <w:rsid w:val="003F0890"/>
    <w:rsid w:val="003F2A0B"/>
    <w:rsid w:val="003F5903"/>
    <w:rsid w:val="0040055B"/>
    <w:rsid w:val="00401056"/>
    <w:rsid w:val="00403562"/>
    <w:rsid w:val="0040598E"/>
    <w:rsid w:val="00405E72"/>
    <w:rsid w:val="00407825"/>
    <w:rsid w:val="00410306"/>
    <w:rsid w:val="0041096D"/>
    <w:rsid w:val="00410CA4"/>
    <w:rsid w:val="00413BAB"/>
    <w:rsid w:val="00413FDF"/>
    <w:rsid w:val="00416671"/>
    <w:rsid w:val="00421C88"/>
    <w:rsid w:val="00424745"/>
    <w:rsid w:val="00427497"/>
    <w:rsid w:val="00431486"/>
    <w:rsid w:val="0043254E"/>
    <w:rsid w:val="00434156"/>
    <w:rsid w:val="00436752"/>
    <w:rsid w:val="00437E04"/>
    <w:rsid w:val="004425CA"/>
    <w:rsid w:val="00447A01"/>
    <w:rsid w:val="00447EB7"/>
    <w:rsid w:val="004528EC"/>
    <w:rsid w:val="004606FA"/>
    <w:rsid w:val="004608C5"/>
    <w:rsid w:val="00461D4D"/>
    <w:rsid w:val="00462F0B"/>
    <w:rsid w:val="00463703"/>
    <w:rsid w:val="004675A6"/>
    <w:rsid w:val="004727AD"/>
    <w:rsid w:val="00474753"/>
    <w:rsid w:val="00475C1F"/>
    <w:rsid w:val="004802AC"/>
    <w:rsid w:val="00480FAF"/>
    <w:rsid w:val="00483DA6"/>
    <w:rsid w:val="004853B0"/>
    <w:rsid w:val="0048572B"/>
    <w:rsid w:val="00485C2B"/>
    <w:rsid w:val="00485CF6"/>
    <w:rsid w:val="0049010A"/>
    <w:rsid w:val="00490A25"/>
    <w:rsid w:val="00490D4C"/>
    <w:rsid w:val="00492556"/>
    <w:rsid w:val="00493DDD"/>
    <w:rsid w:val="00497B40"/>
    <w:rsid w:val="004A0A96"/>
    <w:rsid w:val="004A1EF3"/>
    <w:rsid w:val="004A28B7"/>
    <w:rsid w:val="004A6A87"/>
    <w:rsid w:val="004B169B"/>
    <w:rsid w:val="004B5105"/>
    <w:rsid w:val="004B5A25"/>
    <w:rsid w:val="004B5D09"/>
    <w:rsid w:val="004B7D2F"/>
    <w:rsid w:val="004C1352"/>
    <w:rsid w:val="004C19F7"/>
    <w:rsid w:val="004D0829"/>
    <w:rsid w:val="004D2BEB"/>
    <w:rsid w:val="004D332F"/>
    <w:rsid w:val="004D39EC"/>
    <w:rsid w:val="004D5D54"/>
    <w:rsid w:val="004E1A38"/>
    <w:rsid w:val="004E2D6C"/>
    <w:rsid w:val="004E2D6E"/>
    <w:rsid w:val="004F1220"/>
    <w:rsid w:val="004F2EB9"/>
    <w:rsid w:val="004F726F"/>
    <w:rsid w:val="00501C1B"/>
    <w:rsid w:val="005025DB"/>
    <w:rsid w:val="00504C84"/>
    <w:rsid w:val="005057BD"/>
    <w:rsid w:val="00506120"/>
    <w:rsid w:val="005070AC"/>
    <w:rsid w:val="00507B09"/>
    <w:rsid w:val="00510263"/>
    <w:rsid w:val="0051064D"/>
    <w:rsid w:val="00513795"/>
    <w:rsid w:val="0051567E"/>
    <w:rsid w:val="00523BE5"/>
    <w:rsid w:val="00524168"/>
    <w:rsid w:val="0052455F"/>
    <w:rsid w:val="005250FD"/>
    <w:rsid w:val="005312F3"/>
    <w:rsid w:val="005350B1"/>
    <w:rsid w:val="00535284"/>
    <w:rsid w:val="00536258"/>
    <w:rsid w:val="00537422"/>
    <w:rsid w:val="0054088F"/>
    <w:rsid w:val="00540F21"/>
    <w:rsid w:val="00542042"/>
    <w:rsid w:val="00543039"/>
    <w:rsid w:val="00545564"/>
    <w:rsid w:val="0054619E"/>
    <w:rsid w:val="005466FE"/>
    <w:rsid w:val="00546E28"/>
    <w:rsid w:val="005516B1"/>
    <w:rsid w:val="005516B8"/>
    <w:rsid w:val="00553626"/>
    <w:rsid w:val="0056027B"/>
    <w:rsid w:val="00560DFD"/>
    <w:rsid w:val="00564719"/>
    <w:rsid w:val="00565DC0"/>
    <w:rsid w:val="0056748D"/>
    <w:rsid w:val="00570AE7"/>
    <w:rsid w:val="00570F43"/>
    <w:rsid w:val="005727FE"/>
    <w:rsid w:val="005744EE"/>
    <w:rsid w:val="00575B32"/>
    <w:rsid w:val="00575EFD"/>
    <w:rsid w:val="00580E1B"/>
    <w:rsid w:val="00580EB0"/>
    <w:rsid w:val="00583036"/>
    <w:rsid w:val="00583D18"/>
    <w:rsid w:val="005873C6"/>
    <w:rsid w:val="00587838"/>
    <w:rsid w:val="00587A10"/>
    <w:rsid w:val="005901E8"/>
    <w:rsid w:val="005917E9"/>
    <w:rsid w:val="00594C2E"/>
    <w:rsid w:val="005A5128"/>
    <w:rsid w:val="005A729B"/>
    <w:rsid w:val="005A72AC"/>
    <w:rsid w:val="005B1BDE"/>
    <w:rsid w:val="005B23B5"/>
    <w:rsid w:val="005B3605"/>
    <w:rsid w:val="005B7F80"/>
    <w:rsid w:val="005C21EB"/>
    <w:rsid w:val="005C719A"/>
    <w:rsid w:val="005C7211"/>
    <w:rsid w:val="005C739B"/>
    <w:rsid w:val="005D0771"/>
    <w:rsid w:val="005D3653"/>
    <w:rsid w:val="005D6076"/>
    <w:rsid w:val="005E0242"/>
    <w:rsid w:val="005E1404"/>
    <w:rsid w:val="005E24E4"/>
    <w:rsid w:val="005E3264"/>
    <w:rsid w:val="005E475C"/>
    <w:rsid w:val="005E485B"/>
    <w:rsid w:val="005E7679"/>
    <w:rsid w:val="005F0864"/>
    <w:rsid w:val="005F0D97"/>
    <w:rsid w:val="005F2E10"/>
    <w:rsid w:val="005F557B"/>
    <w:rsid w:val="00600584"/>
    <w:rsid w:val="00601203"/>
    <w:rsid w:val="00601F5D"/>
    <w:rsid w:val="00603E1C"/>
    <w:rsid w:val="00604127"/>
    <w:rsid w:val="006047C9"/>
    <w:rsid w:val="006066F7"/>
    <w:rsid w:val="006070F0"/>
    <w:rsid w:val="00607956"/>
    <w:rsid w:val="00610486"/>
    <w:rsid w:val="00611373"/>
    <w:rsid w:val="0061176B"/>
    <w:rsid w:val="00613C1A"/>
    <w:rsid w:val="00614E52"/>
    <w:rsid w:val="006155D0"/>
    <w:rsid w:val="00617B8A"/>
    <w:rsid w:val="00620F07"/>
    <w:rsid w:val="00621467"/>
    <w:rsid w:val="00622665"/>
    <w:rsid w:val="00622869"/>
    <w:rsid w:val="00625A0D"/>
    <w:rsid w:val="00630ED4"/>
    <w:rsid w:val="00633BCA"/>
    <w:rsid w:val="0063515E"/>
    <w:rsid w:val="006358B5"/>
    <w:rsid w:val="00641DEE"/>
    <w:rsid w:val="00642110"/>
    <w:rsid w:val="0064469D"/>
    <w:rsid w:val="006450E2"/>
    <w:rsid w:val="00647416"/>
    <w:rsid w:val="00647DD9"/>
    <w:rsid w:val="006506CF"/>
    <w:rsid w:val="006519EB"/>
    <w:rsid w:val="00653AE2"/>
    <w:rsid w:val="00656D0C"/>
    <w:rsid w:val="006607A1"/>
    <w:rsid w:val="00661500"/>
    <w:rsid w:val="006677C9"/>
    <w:rsid w:val="0067020A"/>
    <w:rsid w:val="0067184F"/>
    <w:rsid w:val="00677D79"/>
    <w:rsid w:val="006826D6"/>
    <w:rsid w:val="00683614"/>
    <w:rsid w:val="0068389B"/>
    <w:rsid w:val="00685397"/>
    <w:rsid w:val="00686743"/>
    <w:rsid w:val="00686A4D"/>
    <w:rsid w:val="0068747C"/>
    <w:rsid w:val="0069018B"/>
    <w:rsid w:val="006909DC"/>
    <w:rsid w:val="00691037"/>
    <w:rsid w:val="00696038"/>
    <w:rsid w:val="006A0329"/>
    <w:rsid w:val="006A09DB"/>
    <w:rsid w:val="006A0A8E"/>
    <w:rsid w:val="006A142B"/>
    <w:rsid w:val="006A6010"/>
    <w:rsid w:val="006B2902"/>
    <w:rsid w:val="006B2DB4"/>
    <w:rsid w:val="006B398D"/>
    <w:rsid w:val="006B43FD"/>
    <w:rsid w:val="006B49CE"/>
    <w:rsid w:val="006B5E0B"/>
    <w:rsid w:val="006B69E6"/>
    <w:rsid w:val="006C0029"/>
    <w:rsid w:val="006C011F"/>
    <w:rsid w:val="006C2E61"/>
    <w:rsid w:val="006C3E14"/>
    <w:rsid w:val="006C3E3B"/>
    <w:rsid w:val="006C79C3"/>
    <w:rsid w:val="006C7C65"/>
    <w:rsid w:val="006D15C7"/>
    <w:rsid w:val="006D3F85"/>
    <w:rsid w:val="006D43DD"/>
    <w:rsid w:val="006D4537"/>
    <w:rsid w:val="006D4B49"/>
    <w:rsid w:val="006E0B36"/>
    <w:rsid w:val="006E0BED"/>
    <w:rsid w:val="006E3E53"/>
    <w:rsid w:val="006E3F29"/>
    <w:rsid w:val="006E571D"/>
    <w:rsid w:val="006F3FEC"/>
    <w:rsid w:val="006F530F"/>
    <w:rsid w:val="006F5766"/>
    <w:rsid w:val="006F59CD"/>
    <w:rsid w:val="006F5EA8"/>
    <w:rsid w:val="00700575"/>
    <w:rsid w:val="007011F9"/>
    <w:rsid w:val="00701D65"/>
    <w:rsid w:val="00703CA1"/>
    <w:rsid w:val="00703E02"/>
    <w:rsid w:val="00705554"/>
    <w:rsid w:val="0070665F"/>
    <w:rsid w:val="00713151"/>
    <w:rsid w:val="00717246"/>
    <w:rsid w:val="00717F8A"/>
    <w:rsid w:val="00720CFE"/>
    <w:rsid w:val="00720EBF"/>
    <w:rsid w:val="00722430"/>
    <w:rsid w:val="007229C1"/>
    <w:rsid w:val="00723D61"/>
    <w:rsid w:val="007257B1"/>
    <w:rsid w:val="00730C7B"/>
    <w:rsid w:val="007310C1"/>
    <w:rsid w:val="00731829"/>
    <w:rsid w:val="00733E0C"/>
    <w:rsid w:val="00734701"/>
    <w:rsid w:val="00736A12"/>
    <w:rsid w:val="00737026"/>
    <w:rsid w:val="00737648"/>
    <w:rsid w:val="00741C0E"/>
    <w:rsid w:val="00742B70"/>
    <w:rsid w:val="00746E1F"/>
    <w:rsid w:val="00751124"/>
    <w:rsid w:val="00751A1F"/>
    <w:rsid w:val="00751FE5"/>
    <w:rsid w:val="007520D9"/>
    <w:rsid w:val="00754B67"/>
    <w:rsid w:val="00754C0F"/>
    <w:rsid w:val="00754FF5"/>
    <w:rsid w:val="0075653A"/>
    <w:rsid w:val="0076056A"/>
    <w:rsid w:val="00764F70"/>
    <w:rsid w:val="00766AD1"/>
    <w:rsid w:val="0077104B"/>
    <w:rsid w:val="007757BC"/>
    <w:rsid w:val="00775908"/>
    <w:rsid w:val="00775B5F"/>
    <w:rsid w:val="007808F2"/>
    <w:rsid w:val="007810D6"/>
    <w:rsid w:val="0078133E"/>
    <w:rsid w:val="00786F6C"/>
    <w:rsid w:val="00787304"/>
    <w:rsid w:val="00787319"/>
    <w:rsid w:val="007913A7"/>
    <w:rsid w:val="007917CC"/>
    <w:rsid w:val="00794797"/>
    <w:rsid w:val="00795F0E"/>
    <w:rsid w:val="007A037D"/>
    <w:rsid w:val="007A33A6"/>
    <w:rsid w:val="007A34CC"/>
    <w:rsid w:val="007A3B90"/>
    <w:rsid w:val="007A493F"/>
    <w:rsid w:val="007A5F74"/>
    <w:rsid w:val="007A6B18"/>
    <w:rsid w:val="007B0E99"/>
    <w:rsid w:val="007B3120"/>
    <w:rsid w:val="007B34BB"/>
    <w:rsid w:val="007B43E8"/>
    <w:rsid w:val="007B6978"/>
    <w:rsid w:val="007B6DA9"/>
    <w:rsid w:val="007C2014"/>
    <w:rsid w:val="007C271D"/>
    <w:rsid w:val="007C2775"/>
    <w:rsid w:val="007C3155"/>
    <w:rsid w:val="007C3549"/>
    <w:rsid w:val="007C55A9"/>
    <w:rsid w:val="007D2330"/>
    <w:rsid w:val="007D58FA"/>
    <w:rsid w:val="007D7278"/>
    <w:rsid w:val="007D79D9"/>
    <w:rsid w:val="007D7BAD"/>
    <w:rsid w:val="007E1A03"/>
    <w:rsid w:val="007E3AF4"/>
    <w:rsid w:val="007E3B97"/>
    <w:rsid w:val="007E7266"/>
    <w:rsid w:val="007F04B5"/>
    <w:rsid w:val="007F2D88"/>
    <w:rsid w:val="007F3351"/>
    <w:rsid w:val="007F34E7"/>
    <w:rsid w:val="007F4425"/>
    <w:rsid w:val="00800419"/>
    <w:rsid w:val="00800859"/>
    <w:rsid w:val="00802128"/>
    <w:rsid w:val="00807551"/>
    <w:rsid w:val="0081189B"/>
    <w:rsid w:val="008125B8"/>
    <w:rsid w:val="00816721"/>
    <w:rsid w:val="00816DFD"/>
    <w:rsid w:val="00817994"/>
    <w:rsid w:val="008204E4"/>
    <w:rsid w:val="00823727"/>
    <w:rsid w:val="0082415B"/>
    <w:rsid w:val="00830AD2"/>
    <w:rsid w:val="008354E2"/>
    <w:rsid w:val="0083587D"/>
    <w:rsid w:val="008364D9"/>
    <w:rsid w:val="0083769A"/>
    <w:rsid w:val="008378E3"/>
    <w:rsid w:val="0084167B"/>
    <w:rsid w:val="00841863"/>
    <w:rsid w:val="00842085"/>
    <w:rsid w:val="00842624"/>
    <w:rsid w:val="00842BD3"/>
    <w:rsid w:val="00844215"/>
    <w:rsid w:val="008442AE"/>
    <w:rsid w:val="008443C4"/>
    <w:rsid w:val="00847F68"/>
    <w:rsid w:val="008502EB"/>
    <w:rsid w:val="00851DD5"/>
    <w:rsid w:val="00852D46"/>
    <w:rsid w:val="008543D0"/>
    <w:rsid w:val="00857BD0"/>
    <w:rsid w:val="00860392"/>
    <w:rsid w:val="008620E1"/>
    <w:rsid w:val="00864A95"/>
    <w:rsid w:val="00866704"/>
    <w:rsid w:val="00870544"/>
    <w:rsid w:val="00870E8A"/>
    <w:rsid w:val="008718C4"/>
    <w:rsid w:val="0087242C"/>
    <w:rsid w:val="008729D6"/>
    <w:rsid w:val="00873788"/>
    <w:rsid w:val="008802D9"/>
    <w:rsid w:val="00881F66"/>
    <w:rsid w:val="00883396"/>
    <w:rsid w:val="00884B48"/>
    <w:rsid w:val="008856AD"/>
    <w:rsid w:val="00885CCF"/>
    <w:rsid w:val="00886CC1"/>
    <w:rsid w:val="00893A8F"/>
    <w:rsid w:val="00894808"/>
    <w:rsid w:val="00897631"/>
    <w:rsid w:val="008A1588"/>
    <w:rsid w:val="008A198E"/>
    <w:rsid w:val="008A3CB5"/>
    <w:rsid w:val="008A3CCA"/>
    <w:rsid w:val="008A6A49"/>
    <w:rsid w:val="008A71A1"/>
    <w:rsid w:val="008B4417"/>
    <w:rsid w:val="008B6A65"/>
    <w:rsid w:val="008C122C"/>
    <w:rsid w:val="008C1387"/>
    <w:rsid w:val="008C189D"/>
    <w:rsid w:val="008C3927"/>
    <w:rsid w:val="008C4B02"/>
    <w:rsid w:val="008C59E1"/>
    <w:rsid w:val="008C7731"/>
    <w:rsid w:val="008D0163"/>
    <w:rsid w:val="008D48FD"/>
    <w:rsid w:val="008D6264"/>
    <w:rsid w:val="008D6ED0"/>
    <w:rsid w:val="008D7FB9"/>
    <w:rsid w:val="008E26A6"/>
    <w:rsid w:val="008F0948"/>
    <w:rsid w:val="008F161F"/>
    <w:rsid w:val="008F185E"/>
    <w:rsid w:val="008F19A6"/>
    <w:rsid w:val="008F2C0B"/>
    <w:rsid w:val="008F2FA0"/>
    <w:rsid w:val="008F3E79"/>
    <w:rsid w:val="008F5424"/>
    <w:rsid w:val="008F6A1D"/>
    <w:rsid w:val="008F77B2"/>
    <w:rsid w:val="008F7BE4"/>
    <w:rsid w:val="00900F94"/>
    <w:rsid w:val="00901BA5"/>
    <w:rsid w:val="00901E27"/>
    <w:rsid w:val="0090382D"/>
    <w:rsid w:val="009041D5"/>
    <w:rsid w:val="00904E66"/>
    <w:rsid w:val="00905A4B"/>
    <w:rsid w:val="00907E2C"/>
    <w:rsid w:val="00910267"/>
    <w:rsid w:val="009109D6"/>
    <w:rsid w:val="00910E3E"/>
    <w:rsid w:val="009110A3"/>
    <w:rsid w:val="00911B88"/>
    <w:rsid w:val="00913212"/>
    <w:rsid w:val="009146EB"/>
    <w:rsid w:val="00915CED"/>
    <w:rsid w:val="00916D01"/>
    <w:rsid w:val="00917212"/>
    <w:rsid w:val="0092334B"/>
    <w:rsid w:val="00923BC7"/>
    <w:rsid w:val="00925DED"/>
    <w:rsid w:val="00926AB3"/>
    <w:rsid w:val="00927913"/>
    <w:rsid w:val="0093021B"/>
    <w:rsid w:val="00930692"/>
    <w:rsid w:val="00930911"/>
    <w:rsid w:val="00937A30"/>
    <w:rsid w:val="0094176D"/>
    <w:rsid w:val="00941E18"/>
    <w:rsid w:val="00944515"/>
    <w:rsid w:val="00944646"/>
    <w:rsid w:val="00945982"/>
    <w:rsid w:val="009542D0"/>
    <w:rsid w:val="00957673"/>
    <w:rsid w:val="00957DE1"/>
    <w:rsid w:val="00961251"/>
    <w:rsid w:val="00961CAA"/>
    <w:rsid w:val="009624E6"/>
    <w:rsid w:val="0096658B"/>
    <w:rsid w:val="00966CB3"/>
    <w:rsid w:val="00967970"/>
    <w:rsid w:val="009711D5"/>
    <w:rsid w:val="009734BE"/>
    <w:rsid w:val="00973B59"/>
    <w:rsid w:val="00973D3F"/>
    <w:rsid w:val="00976506"/>
    <w:rsid w:val="0098043B"/>
    <w:rsid w:val="00981FE4"/>
    <w:rsid w:val="00983485"/>
    <w:rsid w:val="0098358F"/>
    <w:rsid w:val="00983914"/>
    <w:rsid w:val="0098430A"/>
    <w:rsid w:val="0098541C"/>
    <w:rsid w:val="00986DDF"/>
    <w:rsid w:val="0098730C"/>
    <w:rsid w:val="00987A8A"/>
    <w:rsid w:val="0099149E"/>
    <w:rsid w:val="009971FE"/>
    <w:rsid w:val="00997714"/>
    <w:rsid w:val="009A39B1"/>
    <w:rsid w:val="009A55F9"/>
    <w:rsid w:val="009A610B"/>
    <w:rsid w:val="009A6B33"/>
    <w:rsid w:val="009A72D3"/>
    <w:rsid w:val="009B2C72"/>
    <w:rsid w:val="009B516F"/>
    <w:rsid w:val="009B58A7"/>
    <w:rsid w:val="009B6B6F"/>
    <w:rsid w:val="009B71B0"/>
    <w:rsid w:val="009C0C9E"/>
    <w:rsid w:val="009C2825"/>
    <w:rsid w:val="009C6BD5"/>
    <w:rsid w:val="009D107D"/>
    <w:rsid w:val="009D1198"/>
    <w:rsid w:val="009D3824"/>
    <w:rsid w:val="009D4EAA"/>
    <w:rsid w:val="009D60FE"/>
    <w:rsid w:val="009E1214"/>
    <w:rsid w:val="009E1B3C"/>
    <w:rsid w:val="009E297A"/>
    <w:rsid w:val="009E2E5B"/>
    <w:rsid w:val="009E3A10"/>
    <w:rsid w:val="009E3EE5"/>
    <w:rsid w:val="009E4E0A"/>
    <w:rsid w:val="009E5E54"/>
    <w:rsid w:val="009E7605"/>
    <w:rsid w:val="009F1B63"/>
    <w:rsid w:val="009F240B"/>
    <w:rsid w:val="009F40A1"/>
    <w:rsid w:val="009F431E"/>
    <w:rsid w:val="009F467E"/>
    <w:rsid w:val="00A017D1"/>
    <w:rsid w:val="00A02650"/>
    <w:rsid w:val="00A050E2"/>
    <w:rsid w:val="00A06CBF"/>
    <w:rsid w:val="00A072CB"/>
    <w:rsid w:val="00A07307"/>
    <w:rsid w:val="00A10341"/>
    <w:rsid w:val="00A10817"/>
    <w:rsid w:val="00A109E8"/>
    <w:rsid w:val="00A10B77"/>
    <w:rsid w:val="00A10FB7"/>
    <w:rsid w:val="00A13FFE"/>
    <w:rsid w:val="00A22006"/>
    <w:rsid w:val="00A22205"/>
    <w:rsid w:val="00A222E8"/>
    <w:rsid w:val="00A22A08"/>
    <w:rsid w:val="00A23356"/>
    <w:rsid w:val="00A30777"/>
    <w:rsid w:val="00A30DAC"/>
    <w:rsid w:val="00A31D0E"/>
    <w:rsid w:val="00A3317D"/>
    <w:rsid w:val="00A37DA3"/>
    <w:rsid w:val="00A40817"/>
    <w:rsid w:val="00A40820"/>
    <w:rsid w:val="00A417EB"/>
    <w:rsid w:val="00A4196E"/>
    <w:rsid w:val="00A439C1"/>
    <w:rsid w:val="00A53115"/>
    <w:rsid w:val="00A53296"/>
    <w:rsid w:val="00A5456C"/>
    <w:rsid w:val="00A546EB"/>
    <w:rsid w:val="00A567AE"/>
    <w:rsid w:val="00A57519"/>
    <w:rsid w:val="00A60C29"/>
    <w:rsid w:val="00A628EF"/>
    <w:rsid w:val="00A62C15"/>
    <w:rsid w:val="00A665AA"/>
    <w:rsid w:val="00A71075"/>
    <w:rsid w:val="00A73F2D"/>
    <w:rsid w:val="00A74CA5"/>
    <w:rsid w:val="00A7500A"/>
    <w:rsid w:val="00A7659F"/>
    <w:rsid w:val="00A766A2"/>
    <w:rsid w:val="00A768EE"/>
    <w:rsid w:val="00A76CC2"/>
    <w:rsid w:val="00A76E2D"/>
    <w:rsid w:val="00A76E54"/>
    <w:rsid w:val="00A7773D"/>
    <w:rsid w:val="00A77951"/>
    <w:rsid w:val="00A811D1"/>
    <w:rsid w:val="00A862D0"/>
    <w:rsid w:val="00A86FE5"/>
    <w:rsid w:val="00AA11F7"/>
    <w:rsid w:val="00AA147E"/>
    <w:rsid w:val="00AA15C5"/>
    <w:rsid w:val="00AA15F4"/>
    <w:rsid w:val="00AA1878"/>
    <w:rsid w:val="00AA362D"/>
    <w:rsid w:val="00AB18D0"/>
    <w:rsid w:val="00AB1950"/>
    <w:rsid w:val="00AB1BC4"/>
    <w:rsid w:val="00AB2899"/>
    <w:rsid w:val="00AB46B0"/>
    <w:rsid w:val="00AB4EEF"/>
    <w:rsid w:val="00AB60B5"/>
    <w:rsid w:val="00AC0BB3"/>
    <w:rsid w:val="00AC5EF4"/>
    <w:rsid w:val="00AD2977"/>
    <w:rsid w:val="00AD53D8"/>
    <w:rsid w:val="00AE3A06"/>
    <w:rsid w:val="00AE6334"/>
    <w:rsid w:val="00AF2829"/>
    <w:rsid w:val="00AF38D1"/>
    <w:rsid w:val="00AF5D93"/>
    <w:rsid w:val="00B018DD"/>
    <w:rsid w:val="00B031F7"/>
    <w:rsid w:val="00B117F9"/>
    <w:rsid w:val="00B13FC1"/>
    <w:rsid w:val="00B14BE7"/>
    <w:rsid w:val="00B16092"/>
    <w:rsid w:val="00B1753B"/>
    <w:rsid w:val="00B2065E"/>
    <w:rsid w:val="00B255C6"/>
    <w:rsid w:val="00B27119"/>
    <w:rsid w:val="00B30099"/>
    <w:rsid w:val="00B321BA"/>
    <w:rsid w:val="00B3420F"/>
    <w:rsid w:val="00B37742"/>
    <w:rsid w:val="00B46192"/>
    <w:rsid w:val="00B463AD"/>
    <w:rsid w:val="00B465C2"/>
    <w:rsid w:val="00B51417"/>
    <w:rsid w:val="00B521A7"/>
    <w:rsid w:val="00B52531"/>
    <w:rsid w:val="00B52EB9"/>
    <w:rsid w:val="00B53E13"/>
    <w:rsid w:val="00B547E8"/>
    <w:rsid w:val="00B553D4"/>
    <w:rsid w:val="00B5576F"/>
    <w:rsid w:val="00B607E4"/>
    <w:rsid w:val="00B61627"/>
    <w:rsid w:val="00B653A9"/>
    <w:rsid w:val="00B66D75"/>
    <w:rsid w:val="00B67C38"/>
    <w:rsid w:val="00B70424"/>
    <w:rsid w:val="00B721DE"/>
    <w:rsid w:val="00B72A03"/>
    <w:rsid w:val="00B75527"/>
    <w:rsid w:val="00B756CA"/>
    <w:rsid w:val="00B765C2"/>
    <w:rsid w:val="00B80311"/>
    <w:rsid w:val="00B82D62"/>
    <w:rsid w:val="00B83C1A"/>
    <w:rsid w:val="00B84301"/>
    <w:rsid w:val="00B85A69"/>
    <w:rsid w:val="00B8682B"/>
    <w:rsid w:val="00B87D98"/>
    <w:rsid w:val="00B92F86"/>
    <w:rsid w:val="00B931F5"/>
    <w:rsid w:val="00B93FDA"/>
    <w:rsid w:val="00B943DF"/>
    <w:rsid w:val="00BA11FE"/>
    <w:rsid w:val="00BA19EF"/>
    <w:rsid w:val="00BB28AB"/>
    <w:rsid w:val="00BB28F2"/>
    <w:rsid w:val="00BC0534"/>
    <w:rsid w:val="00BC0F5A"/>
    <w:rsid w:val="00BC3722"/>
    <w:rsid w:val="00BC4CD2"/>
    <w:rsid w:val="00BC5685"/>
    <w:rsid w:val="00BC61A0"/>
    <w:rsid w:val="00BC7E60"/>
    <w:rsid w:val="00BD021C"/>
    <w:rsid w:val="00BD7C6F"/>
    <w:rsid w:val="00BE0ED7"/>
    <w:rsid w:val="00BE1520"/>
    <w:rsid w:val="00BE435F"/>
    <w:rsid w:val="00BE6E47"/>
    <w:rsid w:val="00BF426C"/>
    <w:rsid w:val="00BF434D"/>
    <w:rsid w:val="00BF6827"/>
    <w:rsid w:val="00BF71DD"/>
    <w:rsid w:val="00BF793A"/>
    <w:rsid w:val="00C043DD"/>
    <w:rsid w:val="00C05885"/>
    <w:rsid w:val="00C066AA"/>
    <w:rsid w:val="00C07A2A"/>
    <w:rsid w:val="00C1273A"/>
    <w:rsid w:val="00C138A1"/>
    <w:rsid w:val="00C14462"/>
    <w:rsid w:val="00C15B56"/>
    <w:rsid w:val="00C179F2"/>
    <w:rsid w:val="00C17EE8"/>
    <w:rsid w:val="00C21742"/>
    <w:rsid w:val="00C21DF1"/>
    <w:rsid w:val="00C279C0"/>
    <w:rsid w:val="00C27A39"/>
    <w:rsid w:val="00C312F5"/>
    <w:rsid w:val="00C31A06"/>
    <w:rsid w:val="00C33141"/>
    <w:rsid w:val="00C3607D"/>
    <w:rsid w:val="00C366AB"/>
    <w:rsid w:val="00C369AA"/>
    <w:rsid w:val="00C40C14"/>
    <w:rsid w:val="00C42890"/>
    <w:rsid w:val="00C436FA"/>
    <w:rsid w:val="00C43E64"/>
    <w:rsid w:val="00C445B4"/>
    <w:rsid w:val="00C445E5"/>
    <w:rsid w:val="00C5140F"/>
    <w:rsid w:val="00C53370"/>
    <w:rsid w:val="00C54102"/>
    <w:rsid w:val="00C54409"/>
    <w:rsid w:val="00C56217"/>
    <w:rsid w:val="00C57B2A"/>
    <w:rsid w:val="00C600B7"/>
    <w:rsid w:val="00C608B4"/>
    <w:rsid w:val="00C62338"/>
    <w:rsid w:val="00C62C3A"/>
    <w:rsid w:val="00C632B7"/>
    <w:rsid w:val="00C64EF6"/>
    <w:rsid w:val="00C676C8"/>
    <w:rsid w:val="00C72D09"/>
    <w:rsid w:val="00C73978"/>
    <w:rsid w:val="00C74011"/>
    <w:rsid w:val="00C7498F"/>
    <w:rsid w:val="00C757AF"/>
    <w:rsid w:val="00C76AA7"/>
    <w:rsid w:val="00C82B60"/>
    <w:rsid w:val="00C82E28"/>
    <w:rsid w:val="00C83BD6"/>
    <w:rsid w:val="00C83F40"/>
    <w:rsid w:val="00C85C59"/>
    <w:rsid w:val="00C86664"/>
    <w:rsid w:val="00C87E62"/>
    <w:rsid w:val="00C9244D"/>
    <w:rsid w:val="00CA02B5"/>
    <w:rsid w:val="00CA5674"/>
    <w:rsid w:val="00CA57B5"/>
    <w:rsid w:val="00CA635F"/>
    <w:rsid w:val="00CA76A6"/>
    <w:rsid w:val="00CB01A8"/>
    <w:rsid w:val="00CB330B"/>
    <w:rsid w:val="00CB6ADD"/>
    <w:rsid w:val="00CC0A75"/>
    <w:rsid w:val="00CC0AFD"/>
    <w:rsid w:val="00CC0BC7"/>
    <w:rsid w:val="00CC246A"/>
    <w:rsid w:val="00CC373F"/>
    <w:rsid w:val="00CC4FED"/>
    <w:rsid w:val="00CC5B83"/>
    <w:rsid w:val="00CD1A44"/>
    <w:rsid w:val="00CD240C"/>
    <w:rsid w:val="00CD4983"/>
    <w:rsid w:val="00CD522E"/>
    <w:rsid w:val="00CD56ED"/>
    <w:rsid w:val="00CD79CA"/>
    <w:rsid w:val="00CE4541"/>
    <w:rsid w:val="00CE50C5"/>
    <w:rsid w:val="00CE633E"/>
    <w:rsid w:val="00CE74CF"/>
    <w:rsid w:val="00CF1240"/>
    <w:rsid w:val="00CF29E8"/>
    <w:rsid w:val="00CF2B16"/>
    <w:rsid w:val="00CF3510"/>
    <w:rsid w:val="00CF3E0A"/>
    <w:rsid w:val="00CF419D"/>
    <w:rsid w:val="00CF4C81"/>
    <w:rsid w:val="00CF4F69"/>
    <w:rsid w:val="00CF4FA6"/>
    <w:rsid w:val="00CF7F69"/>
    <w:rsid w:val="00D00D13"/>
    <w:rsid w:val="00D020C7"/>
    <w:rsid w:val="00D03EA7"/>
    <w:rsid w:val="00D041C0"/>
    <w:rsid w:val="00D06EF7"/>
    <w:rsid w:val="00D07207"/>
    <w:rsid w:val="00D1235B"/>
    <w:rsid w:val="00D14B7F"/>
    <w:rsid w:val="00D16CC2"/>
    <w:rsid w:val="00D207DD"/>
    <w:rsid w:val="00D23039"/>
    <w:rsid w:val="00D23E8F"/>
    <w:rsid w:val="00D32CFD"/>
    <w:rsid w:val="00D367F3"/>
    <w:rsid w:val="00D376BD"/>
    <w:rsid w:val="00D37D89"/>
    <w:rsid w:val="00D41C2C"/>
    <w:rsid w:val="00D448AF"/>
    <w:rsid w:val="00D45A78"/>
    <w:rsid w:val="00D5019E"/>
    <w:rsid w:val="00D57EA0"/>
    <w:rsid w:val="00D62A30"/>
    <w:rsid w:val="00D62C00"/>
    <w:rsid w:val="00D706BB"/>
    <w:rsid w:val="00D70ECB"/>
    <w:rsid w:val="00D73CAE"/>
    <w:rsid w:val="00D74D8E"/>
    <w:rsid w:val="00D74DA7"/>
    <w:rsid w:val="00D74FDD"/>
    <w:rsid w:val="00D751B5"/>
    <w:rsid w:val="00D76AAE"/>
    <w:rsid w:val="00D77527"/>
    <w:rsid w:val="00D801E8"/>
    <w:rsid w:val="00D805B4"/>
    <w:rsid w:val="00D8063A"/>
    <w:rsid w:val="00D81497"/>
    <w:rsid w:val="00D81ADA"/>
    <w:rsid w:val="00D836EF"/>
    <w:rsid w:val="00D878E7"/>
    <w:rsid w:val="00D87B0F"/>
    <w:rsid w:val="00D90AB8"/>
    <w:rsid w:val="00D935AE"/>
    <w:rsid w:val="00D94745"/>
    <w:rsid w:val="00D9535B"/>
    <w:rsid w:val="00D9759B"/>
    <w:rsid w:val="00DA2063"/>
    <w:rsid w:val="00DB050E"/>
    <w:rsid w:val="00DB24AA"/>
    <w:rsid w:val="00DB3960"/>
    <w:rsid w:val="00DB72FA"/>
    <w:rsid w:val="00DB7C9D"/>
    <w:rsid w:val="00DC3493"/>
    <w:rsid w:val="00DC4FF9"/>
    <w:rsid w:val="00DC5F86"/>
    <w:rsid w:val="00DC6466"/>
    <w:rsid w:val="00DD3E23"/>
    <w:rsid w:val="00DD4500"/>
    <w:rsid w:val="00DD567D"/>
    <w:rsid w:val="00DD620D"/>
    <w:rsid w:val="00DD7012"/>
    <w:rsid w:val="00DD7CC7"/>
    <w:rsid w:val="00DE49D4"/>
    <w:rsid w:val="00DE540B"/>
    <w:rsid w:val="00DE5A68"/>
    <w:rsid w:val="00DE62B1"/>
    <w:rsid w:val="00DF03DF"/>
    <w:rsid w:val="00DF0402"/>
    <w:rsid w:val="00DF2652"/>
    <w:rsid w:val="00DF42A2"/>
    <w:rsid w:val="00DF4D09"/>
    <w:rsid w:val="00E0023E"/>
    <w:rsid w:val="00E005EF"/>
    <w:rsid w:val="00E01494"/>
    <w:rsid w:val="00E0591C"/>
    <w:rsid w:val="00E06514"/>
    <w:rsid w:val="00E06D31"/>
    <w:rsid w:val="00E11704"/>
    <w:rsid w:val="00E11D89"/>
    <w:rsid w:val="00E130AD"/>
    <w:rsid w:val="00E16B70"/>
    <w:rsid w:val="00E218CC"/>
    <w:rsid w:val="00E21D2D"/>
    <w:rsid w:val="00E27DB5"/>
    <w:rsid w:val="00E303C9"/>
    <w:rsid w:val="00E3171B"/>
    <w:rsid w:val="00E324A3"/>
    <w:rsid w:val="00E33669"/>
    <w:rsid w:val="00E337BF"/>
    <w:rsid w:val="00E34403"/>
    <w:rsid w:val="00E35556"/>
    <w:rsid w:val="00E35A4B"/>
    <w:rsid w:val="00E40A8F"/>
    <w:rsid w:val="00E41A20"/>
    <w:rsid w:val="00E42789"/>
    <w:rsid w:val="00E462C3"/>
    <w:rsid w:val="00E4684E"/>
    <w:rsid w:val="00E47284"/>
    <w:rsid w:val="00E47916"/>
    <w:rsid w:val="00E51C6E"/>
    <w:rsid w:val="00E52C1A"/>
    <w:rsid w:val="00E538BE"/>
    <w:rsid w:val="00E55032"/>
    <w:rsid w:val="00E5598E"/>
    <w:rsid w:val="00E56359"/>
    <w:rsid w:val="00E5692D"/>
    <w:rsid w:val="00E573DF"/>
    <w:rsid w:val="00E57BEB"/>
    <w:rsid w:val="00E57D09"/>
    <w:rsid w:val="00E633AE"/>
    <w:rsid w:val="00E65E7D"/>
    <w:rsid w:val="00E713C5"/>
    <w:rsid w:val="00E740C0"/>
    <w:rsid w:val="00E83711"/>
    <w:rsid w:val="00E85D06"/>
    <w:rsid w:val="00E85D53"/>
    <w:rsid w:val="00E900CF"/>
    <w:rsid w:val="00E90823"/>
    <w:rsid w:val="00E90B24"/>
    <w:rsid w:val="00E919B6"/>
    <w:rsid w:val="00E926DF"/>
    <w:rsid w:val="00E95025"/>
    <w:rsid w:val="00E9525D"/>
    <w:rsid w:val="00E95318"/>
    <w:rsid w:val="00EA0885"/>
    <w:rsid w:val="00EA2DC3"/>
    <w:rsid w:val="00EA470A"/>
    <w:rsid w:val="00EA5216"/>
    <w:rsid w:val="00EB388E"/>
    <w:rsid w:val="00EB3DFF"/>
    <w:rsid w:val="00EB68C5"/>
    <w:rsid w:val="00EB6D12"/>
    <w:rsid w:val="00EB71C2"/>
    <w:rsid w:val="00EC185F"/>
    <w:rsid w:val="00EC2E73"/>
    <w:rsid w:val="00EC40FF"/>
    <w:rsid w:val="00EC4520"/>
    <w:rsid w:val="00EC67D1"/>
    <w:rsid w:val="00EC6C07"/>
    <w:rsid w:val="00EC6E0B"/>
    <w:rsid w:val="00ED027B"/>
    <w:rsid w:val="00ED0F3C"/>
    <w:rsid w:val="00ED188D"/>
    <w:rsid w:val="00ED3EFB"/>
    <w:rsid w:val="00ED667D"/>
    <w:rsid w:val="00EE303F"/>
    <w:rsid w:val="00EE4AC8"/>
    <w:rsid w:val="00EE624A"/>
    <w:rsid w:val="00EF078A"/>
    <w:rsid w:val="00EF0E4B"/>
    <w:rsid w:val="00EF30C4"/>
    <w:rsid w:val="00EF3C8E"/>
    <w:rsid w:val="00F00B75"/>
    <w:rsid w:val="00F016F9"/>
    <w:rsid w:val="00F02297"/>
    <w:rsid w:val="00F026B4"/>
    <w:rsid w:val="00F02BEE"/>
    <w:rsid w:val="00F03871"/>
    <w:rsid w:val="00F044E8"/>
    <w:rsid w:val="00F07E96"/>
    <w:rsid w:val="00F144E3"/>
    <w:rsid w:val="00F1564E"/>
    <w:rsid w:val="00F15672"/>
    <w:rsid w:val="00F15A66"/>
    <w:rsid w:val="00F1602C"/>
    <w:rsid w:val="00F237A0"/>
    <w:rsid w:val="00F24278"/>
    <w:rsid w:val="00F262E5"/>
    <w:rsid w:val="00F30C3D"/>
    <w:rsid w:val="00F32D15"/>
    <w:rsid w:val="00F34319"/>
    <w:rsid w:val="00F34F1E"/>
    <w:rsid w:val="00F35B2F"/>
    <w:rsid w:val="00F37042"/>
    <w:rsid w:val="00F412A0"/>
    <w:rsid w:val="00F427EE"/>
    <w:rsid w:val="00F437EB"/>
    <w:rsid w:val="00F45247"/>
    <w:rsid w:val="00F45350"/>
    <w:rsid w:val="00F46C49"/>
    <w:rsid w:val="00F50BD0"/>
    <w:rsid w:val="00F513EE"/>
    <w:rsid w:val="00F52141"/>
    <w:rsid w:val="00F55496"/>
    <w:rsid w:val="00F561C6"/>
    <w:rsid w:val="00F572A4"/>
    <w:rsid w:val="00F573D6"/>
    <w:rsid w:val="00F579AB"/>
    <w:rsid w:val="00F60AE7"/>
    <w:rsid w:val="00F637D8"/>
    <w:rsid w:val="00F6755A"/>
    <w:rsid w:val="00F719AA"/>
    <w:rsid w:val="00F720A9"/>
    <w:rsid w:val="00F72574"/>
    <w:rsid w:val="00F72FA9"/>
    <w:rsid w:val="00F73FE8"/>
    <w:rsid w:val="00F74D77"/>
    <w:rsid w:val="00F75626"/>
    <w:rsid w:val="00F763D1"/>
    <w:rsid w:val="00F836B3"/>
    <w:rsid w:val="00F83822"/>
    <w:rsid w:val="00F839C9"/>
    <w:rsid w:val="00F8658B"/>
    <w:rsid w:val="00F865B4"/>
    <w:rsid w:val="00F87C5D"/>
    <w:rsid w:val="00F91B4B"/>
    <w:rsid w:val="00F92F99"/>
    <w:rsid w:val="00F9426D"/>
    <w:rsid w:val="00F95399"/>
    <w:rsid w:val="00FA1C1B"/>
    <w:rsid w:val="00FA26E0"/>
    <w:rsid w:val="00FA72DD"/>
    <w:rsid w:val="00FB0ED0"/>
    <w:rsid w:val="00FB1275"/>
    <w:rsid w:val="00FB4537"/>
    <w:rsid w:val="00FB6E54"/>
    <w:rsid w:val="00FC00B2"/>
    <w:rsid w:val="00FC033F"/>
    <w:rsid w:val="00FC2B87"/>
    <w:rsid w:val="00FC55F2"/>
    <w:rsid w:val="00FC67EB"/>
    <w:rsid w:val="00FC7B37"/>
    <w:rsid w:val="00FD03AA"/>
    <w:rsid w:val="00FD45C9"/>
    <w:rsid w:val="00FD4DB8"/>
    <w:rsid w:val="00FD61E1"/>
    <w:rsid w:val="00FD6A9C"/>
    <w:rsid w:val="00FD6AFC"/>
    <w:rsid w:val="00FE236C"/>
    <w:rsid w:val="00FE3AB6"/>
    <w:rsid w:val="00FE4C53"/>
    <w:rsid w:val="00FF0142"/>
    <w:rsid w:val="00FF08BB"/>
    <w:rsid w:val="00FF14F4"/>
    <w:rsid w:val="00FF2CB8"/>
    <w:rsid w:val="00FF3558"/>
    <w:rsid w:val="00FF3837"/>
    <w:rsid w:val="00FF388B"/>
    <w:rsid w:val="00FF416C"/>
    <w:rsid w:val="00FF4613"/>
    <w:rsid w:val="00FF58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493069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0" w:qFormat="1"/>
    <w:lsdException w:name="heading 3" w:uiPriority="0" w:qFormat="1"/>
    <w:lsdException w:name="heading 4" w:uiPriority="0"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0"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0"/>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aliases w:val="Normal--Publishing"/>
    <w:qFormat/>
    <w:rsid w:val="00604127"/>
    <w:rPr>
      <w:rFonts w:ascii="Verdana" w:hAnsi="Verdana"/>
    </w:rPr>
  </w:style>
  <w:style w:type="paragraph" w:styleId="Heading1">
    <w:name w:val="heading 1"/>
    <w:aliases w:val="Heading 1--Publishing"/>
    <w:basedOn w:val="Normal"/>
    <w:next w:val="BodyText"/>
    <w:link w:val="Heading1Char"/>
    <w:uiPriority w:val="9"/>
    <w:qFormat/>
    <w:rsid w:val="00604127"/>
    <w:pPr>
      <w:keepNext/>
      <w:spacing w:before="240" w:after="60"/>
      <w:outlineLvl w:val="0"/>
    </w:pPr>
    <w:rPr>
      <w:rFonts w:ascii="Segoe UI Light" w:hAnsi="Segoe UI Light"/>
      <w:b/>
      <w:color w:val="000080"/>
      <w:kern w:val="32"/>
      <w:sz w:val="56"/>
    </w:rPr>
  </w:style>
  <w:style w:type="paragraph" w:styleId="Heading2">
    <w:name w:val="heading 2"/>
    <w:aliases w:val="Heading 2--Publishing"/>
    <w:basedOn w:val="Normal"/>
    <w:next w:val="BodyText"/>
    <w:link w:val="Heading2Char"/>
    <w:qFormat/>
    <w:rsid w:val="00604127"/>
    <w:pPr>
      <w:keepNext/>
      <w:spacing w:before="240" w:after="60"/>
      <w:outlineLvl w:val="1"/>
    </w:pPr>
    <w:rPr>
      <w:rFonts w:ascii="Segoe UI Light" w:hAnsi="Segoe UI Light"/>
      <w:color w:val="CC0000"/>
      <w:sz w:val="40"/>
    </w:rPr>
  </w:style>
  <w:style w:type="paragraph" w:styleId="Heading3">
    <w:name w:val="heading 3"/>
    <w:aliases w:val="Heading 3--Publishing"/>
    <w:basedOn w:val="Heading2"/>
    <w:next w:val="BodyText"/>
    <w:link w:val="Heading3Char"/>
    <w:qFormat/>
    <w:rsid w:val="00604127"/>
    <w:pPr>
      <w:outlineLvl w:val="2"/>
    </w:pPr>
    <w:rPr>
      <w:color w:val="538135"/>
      <w:sz w:val="36"/>
    </w:rPr>
  </w:style>
  <w:style w:type="paragraph" w:styleId="Heading4">
    <w:name w:val="heading 4"/>
    <w:aliases w:val="Heading 4--Publishing"/>
    <w:basedOn w:val="Heading2"/>
    <w:next w:val="Normal"/>
    <w:link w:val="Heading4Char"/>
    <w:rsid w:val="00604127"/>
    <w:pPr>
      <w:outlineLvl w:val="3"/>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604127"/>
    <w:pPr>
      <w:jc w:val="both"/>
    </w:pPr>
    <w:rPr>
      <w:rFonts w:ascii="Calibri" w:hAnsi="Calibri"/>
    </w:rPr>
  </w:style>
  <w:style w:type="character" w:customStyle="1" w:styleId="Heading1Char">
    <w:name w:val="Heading 1 Char"/>
    <w:aliases w:val="Heading 1--Publishing Char"/>
    <w:basedOn w:val="DefaultParagraphFont"/>
    <w:link w:val="Heading1"/>
    <w:uiPriority w:val="9"/>
    <w:rsid w:val="001B4194"/>
    <w:rPr>
      <w:rFonts w:ascii="Segoe UI Light" w:hAnsi="Segoe UI Light"/>
      <w:b/>
      <w:color w:val="000080"/>
      <w:kern w:val="32"/>
      <w:sz w:val="56"/>
    </w:rPr>
  </w:style>
  <w:style w:type="character" w:customStyle="1" w:styleId="Heading2Char">
    <w:name w:val="Heading 2 Char"/>
    <w:aliases w:val="Heading 2--Publishing Char"/>
    <w:basedOn w:val="DefaultParagraphFont"/>
    <w:link w:val="Heading2"/>
    <w:rsid w:val="001B4194"/>
    <w:rPr>
      <w:rFonts w:ascii="Segoe UI Light" w:hAnsi="Segoe UI Light"/>
      <w:color w:val="CC0000"/>
      <w:sz w:val="40"/>
    </w:rPr>
  </w:style>
  <w:style w:type="character" w:customStyle="1" w:styleId="Heading3Char">
    <w:name w:val="Heading 3 Char"/>
    <w:aliases w:val="Heading 3--Publishing Char"/>
    <w:basedOn w:val="DefaultParagraphFont"/>
    <w:link w:val="Heading3"/>
    <w:rsid w:val="001B4194"/>
    <w:rPr>
      <w:rFonts w:ascii="Segoe UI Light" w:hAnsi="Segoe UI Light"/>
      <w:color w:val="538135"/>
      <w:sz w:val="36"/>
    </w:rPr>
  </w:style>
  <w:style w:type="character" w:customStyle="1" w:styleId="Heading4Char">
    <w:name w:val="Heading 4 Char"/>
    <w:aliases w:val="Heading 4--Publishing Char"/>
    <w:basedOn w:val="DefaultParagraphFont"/>
    <w:link w:val="Heading4"/>
    <w:rsid w:val="001B4194"/>
    <w:rPr>
      <w:rFonts w:ascii="Segoe UI Light" w:hAnsi="Segoe UI Light"/>
      <w:color w:val="CC0000"/>
      <w:sz w:val="40"/>
    </w:rPr>
  </w:style>
  <w:style w:type="paragraph" w:customStyle="1" w:styleId="Intro1stSentence">
    <w:name w:val="Intro 1st Sentence"/>
    <w:basedOn w:val="Normal"/>
    <w:link w:val="Intro1stSentenceChar"/>
    <w:rsid w:val="00604127"/>
    <w:pPr>
      <w:ind w:right="2707"/>
    </w:pPr>
    <w:rPr>
      <w:color w:val="993300"/>
      <w:sz w:val="24"/>
    </w:rPr>
  </w:style>
  <w:style w:type="character" w:customStyle="1" w:styleId="Intro1stSentenceChar">
    <w:name w:val="Intro 1st Sentence Char"/>
    <w:link w:val="Intro1stSentence"/>
    <w:rsid w:val="00604127"/>
    <w:rPr>
      <w:rFonts w:ascii="Verdana" w:hAnsi="Verdana"/>
      <w:color w:val="993300"/>
      <w:sz w:val="24"/>
    </w:rPr>
  </w:style>
  <w:style w:type="paragraph" w:customStyle="1" w:styleId="FigureCaption">
    <w:name w:val="Figure Caption"/>
    <w:basedOn w:val="Normal"/>
    <w:next w:val="BodyText"/>
    <w:link w:val="FigureCaptionChar"/>
    <w:rsid w:val="00604127"/>
    <w:rPr>
      <w:color w:val="1F497D"/>
    </w:rPr>
  </w:style>
  <w:style w:type="character" w:customStyle="1" w:styleId="FigureCaptionChar">
    <w:name w:val="Figure Caption Char"/>
    <w:link w:val="FigureCaption"/>
    <w:rsid w:val="00604127"/>
    <w:rPr>
      <w:rFonts w:ascii="Verdana" w:hAnsi="Verdana"/>
      <w:color w:val="1F497D"/>
    </w:rPr>
  </w:style>
  <w:style w:type="paragraph" w:customStyle="1" w:styleId="SideBar">
    <w:name w:val="SideBar"/>
    <w:basedOn w:val="Normal"/>
    <w:rsid w:val="00604127"/>
    <w:pPr>
      <w:pBdr>
        <w:right w:val="single" w:sz="2" w:space="4" w:color="0000FF"/>
      </w:pBdr>
      <w:ind w:left="720" w:right="5760"/>
    </w:pPr>
    <w:rPr>
      <w:rFonts w:ascii="Calibri" w:hAnsi="Calibri"/>
      <w:color w:val="1F497D"/>
    </w:rPr>
  </w:style>
  <w:style w:type="paragraph" w:customStyle="1" w:styleId="FastFactsHeader">
    <w:name w:val="Fast Facts Header"/>
    <w:basedOn w:val="Normal"/>
    <w:rsid w:val="00604127"/>
    <w:pPr>
      <w:shd w:val="clear" w:color="auto" w:fill="000080"/>
      <w:ind w:left="720" w:right="5760"/>
      <w:jc w:val="center"/>
    </w:pPr>
    <w:rPr>
      <w:rFonts w:ascii="Helvetica" w:hAnsi="Helvetica"/>
      <w:b/>
      <w:color w:val="FFFFFF"/>
      <w:sz w:val="24"/>
    </w:rPr>
  </w:style>
  <w:style w:type="paragraph" w:customStyle="1" w:styleId="AuthorName">
    <w:name w:val="Author Name"/>
    <w:basedOn w:val="Normal"/>
    <w:rsid w:val="00604127"/>
    <w:pPr>
      <w:pBdr>
        <w:right w:val="single" w:sz="4" w:space="4" w:color="0000FF"/>
      </w:pBdr>
      <w:ind w:left="720" w:right="5760"/>
    </w:pPr>
    <w:rPr>
      <w:rFonts w:ascii="Calibri" w:hAnsi="Calibri"/>
      <w:b/>
      <w:color w:val="538135"/>
      <w:sz w:val="24"/>
    </w:rPr>
  </w:style>
  <w:style w:type="paragraph" w:customStyle="1" w:styleId="Bio">
    <w:name w:val="Bio"/>
    <w:basedOn w:val="AuthorName"/>
    <w:rsid w:val="00604127"/>
    <w:rPr>
      <w:b w:val="0"/>
      <w:sz w:val="20"/>
    </w:rPr>
  </w:style>
  <w:style w:type="paragraph" w:customStyle="1" w:styleId="SidebarCaption">
    <w:name w:val="Sidebar Caption"/>
    <w:basedOn w:val="SideBar"/>
    <w:rsid w:val="00604127"/>
    <w:rPr>
      <w:b/>
      <w:sz w:val="24"/>
    </w:rPr>
  </w:style>
  <w:style w:type="paragraph" w:customStyle="1" w:styleId="AuthorEmailandPhone">
    <w:name w:val="Author Email and Phone"/>
    <w:basedOn w:val="AuthorName"/>
    <w:rsid w:val="00604127"/>
    <w:rPr>
      <w:b w:val="0"/>
      <w:sz w:val="20"/>
      <w:u w:val="single"/>
    </w:rPr>
  </w:style>
  <w:style w:type="paragraph" w:customStyle="1" w:styleId="PullQuote">
    <w:name w:val="PullQuote"/>
    <w:basedOn w:val="Normal"/>
    <w:rsid w:val="00604127"/>
    <w:pPr>
      <w:pBdr>
        <w:top w:val="single" w:sz="4" w:space="10" w:color="2F5496"/>
        <w:left w:val="single" w:sz="4" w:space="20" w:color="2F5496"/>
        <w:bottom w:val="single" w:sz="4" w:space="10" w:color="2F5496"/>
        <w:right w:val="single" w:sz="4" w:space="20" w:color="2F5496"/>
      </w:pBdr>
      <w:shd w:val="clear" w:color="auto" w:fill="0070C0"/>
      <w:spacing w:before="240" w:after="240" w:line="288" w:lineRule="auto"/>
      <w:ind w:left="1440" w:right="5040"/>
    </w:pPr>
    <w:rPr>
      <w:rFonts w:ascii="Segoe UI" w:hAnsi="Segoe UI"/>
      <w:color w:val="FFFFFF"/>
      <w:sz w:val="24"/>
    </w:rPr>
  </w:style>
  <w:style w:type="paragraph" w:customStyle="1" w:styleId="CodeSnippet">
    <w:name w:val="Code Snippet"/>
    <w:basedOn w:val="Normal"/>
    <w:rsid w:val="00604127"/>
    <w:pPr>
      <w:shd w:val="clear" w:color="auto" w:fill="F3F3F3"/>
      <w:suppressAutoHyphens/>
      <w:ind w:left="720" w:right="3240"/>
    </w:pPr>
    <w:rPr>
      <w:rFonts w:ascii="Consolas" w:hAnsi="Consolas"/>
      <w:noProof/>
      <w:color w:val="000000"/>
    </w:rPr>
  </w:style>
  <w:style w:type="paragraph" w:customStyle="1" w:styleId="CodeListing">
    <w:name w:val="Code Listing"/>
    <w:basedOn w:val="CodeSnippet"/>
    <w:rsid w:val="00604127"/>
    <w:pPr>
      <w:shd w:val="clear" w:color="auto" w:fill="D9D9D9"/>
      <w:ind w:right="1872"/>
    </w:pPr>
  </w:style>
  <w:style w:type="paragraph" w:customStyle="1" w:styleId="CodeListingHeader">
    <w:name w:val="Code Listing Header"/>
    <w:basedOn w:val="CodeSnippet"/>
    <w:next w:val="CodeListing"/>
    <w:rsid w:val="00604127"/>
    <w:pPr>
      <w:shd w:val="clear" w:color="auto" w:fill="0060A8"/>
      <w:ind w:right="1872"/>
    </w:pPr>
    <w:rPr>
      <w:rFonts w:ascii="Calibri" w:hAnsi="Calibri"/>
      <w:color w:val="FFFFFF"/>
      <w:sz w:val="24"/>
    </w:rPr>
  </w:style>
  <w:style w:type="paragraph" w:customStyle="1" w:styleId="FastFactsText">
    <w:name w:val="Fast Facts Text"/>
    <w:basedOn w:val="FastFactsHeader"/>
    <w:rsid w:val="00604127"/>
    <w:pPr>
      <w:shd w:val="clear" w:color="auto" w:fill="auto"/>
      <w:jc w:val="left"/>
    </w:pPr>
    <w:rPr>
      <w:rFonts w:ascii="Calibri" w:hAnsi="Calibri"/>
      <w:color w:val="666699"/>
      <w:sz w:val="20"/>
    </w:rPr>
  </w:style>
  <w:style w:type="paragraph" w:customStyle="1" w:styleId="Introremaining">
    <w:name w:val="Intro (remaining)"/>
    <w:basedOn w:val="Intro1stSentence"/>
    <w:next w:val="BodyText"/>
    <w:link w:val="IntroremainingChar"/>
    <w:rsid w:val="00604127"/>
    <w:rPr>
      <w:bCs/>
      <w:color w:val="auto"/>
    </w:rPr>
  </w:style>
  <w:style w:type="character" w:customStyle="1" w:styleId="IntroremainingChar">
    <w:name w:val="Intro (remaining) Char"/>
    <w:link w:val="Introremaining"/>
    <w:rsid w:val="00604127"/>
    <w:rPr>
      <w:rFonts w:ascii="Verdana" w:hAnsi="Verdana"/>
      <w:bCs/>
      <w:sz w:val="24"/>
    </w:rPr>
  </w:style>
  <w:style w:type="paragraph" w:customStyle="1" w:styleId="FigureCaptionBold">
    <w:name w:val="Figure Caption + Bold"/>
    <w:basedOn w:val="FigureCaption"/>
    <w:link w:val="FigureCaptionBoldChar"/>
    <w:rsid w:val="00604127"/>
    <w:rPr>
      <w:b/>
      <w:bCs/>
      <w:iCs/>
    </w:rPr>
  </w:style>
  <w:style w:type="character" w:customStyle="1" w:styleId="FigureCaptionBoldChar">
    <w:name w:val="Figure Caption + Bold Char"/>
    <w:link w:val="FigureCaptionBold"/>
    <w:rsid w:val="00604127"/>
    <w:rPr>
      <w:rFonts w:ascii="Verdana" w:hAnsi="Verdana"/>
      <w:b/>
      <w:bCs/>
      <w:iCs/>
      <w:color w:val="1F497D"/>
    </w:rPr>
  </w:style>
  <w:style w:type="paragraph" w:customStyle="1" w:styleId="NumberedBodyText">
    <w:name w:val="Numbered Body Text"/>
    <w:basedOn w:val="BodyText"/>
    <w:rsid w:val="00604127"/>
    <w:pPr>
      <w:numPr>
        <w:numId w:val="1"/>
      </w:numPr>
    </w:pPr>
  </w:style>
  <w:style w:type="paragraph" w:customStyle="1" w:styleId="BullettedBodyText">
    <w:name w:val="Bulletted Body Text"/>
    <w:basedOn w:val="BodyText"/>
    <w:rsid w:val="00604127"/>
    <w:pPr>
      <w:numPr>
        <w:numId w:val="2"/>
      </w:numPr>
    </w:pPr>
  </w:style>
  <w:style w:type="character" w:styleId="Hyperlink">
    <w:name w:val="Hyperlink"/>
    <w:rsid w:val="00604127"/>
    <w:rPr>
      <w:color w:val="0000FF"/>
      <w:u w:val="single"/>
    </w:rPr>
  </w:style>
  <w:style w:type="paragraph" w:customStyle="1" w:styleId="TableHeading">
    <w:name w:val="Table Heading"/>
    <w:basedOn w:val="Normal"/>
    <w:rsid w:val="00604127"/>
    <w:pPr>
      <w:pBdr>
        <w:top w:val="single" w:sz="8" w:space="1" w:color="0060A8"/>
        <w:left w:val="single" w:sz="8" w:space="4" w:color="0060A8"/>
        <w:bottom w:val="single" w:sz="8" w:space="1" w:color="0060A8"/>
        <w:right w:val="single" w:sz="8" w:space="4" w:color="0060A8"/>
      </w:pBdr>
      <w:shd w:val="clear" w:color="auto" w:fill="0060A8"/>
    </w:pPr>
    <w:rPr>
      <w:rFonts w:ascii="Calibri" w:hAnsi="Calibri"/>
      <w:b/>
      <w:color w:val="FFFFFF"/>
    </w:rPr>
  </w:style>
  <w:style w:type="paragraph" w:customStyle="1" w:styleId="TableText">
    <w:name w:val="Table Text"/>
    <w:basedOn w:val="Normal"/>
    <w:rsid w:val="00604127"/>
    <w:pPr>
      <w:shd w:val="clear" w:color="auto" w:fill="DCE6F2"/>
    </w:pPr>
    <w:rPr>
      <w:rFonts w:ascii="Calibri" w:hAnsi="Calibri"/>
    </w:rPr>
  </w:style>
  <w:style w:type="paragraph" w:customStyle="1" w:styleId="TableCaption">
    <w:name w:val="Table Caption"/>
    <w:basedOn w:val="FigureCaption"/>
    <w:rsid w:val="00604127"/>
  </w:style>
  <w:style w:type="paragraph" w:styleId="BalloonText">
    <w:name w:val="Balloon Text"/>
    <w:basedOn w:val="Normal"/>
    <w:link w:val="BalloonTextChar"/>
    <w:uiPriority w:val="99"/>
    <w:semiHidden/>
    <w:unhideWhenUsed/>
    <w:rsid w:val="00604127"/>
    <w:rPr>
      <w:rFonts w:ascii="Tahoma" w:hAnsi="Tahoma" w:cs="Tahoma"/>
      <w:sz w:val="16"/>
      <w:szCs w:val="16"/>
    </w:rPr>
  </w:style>
  <w:style w:type="character" w:customStyle="1" w:styleId="BalloonTextChar">
    <w:name w:val="Balloon Text Char"/>
    <w:link w:val="BalloonText"/>
    <w:uiPriority w:val="99"/>
    <w:semiHidden/>
    <w:rsid w:val="00604127"/>
    <w:rPr>
      <w:rFonts w:ascii="Tahoma" w:hAnsi="Tahoma" w:cs="Tahoma"/>
      <w:sz w:val="16"/>
      <w:szCs w:val="16"/>
    </w:rPr>
  </w:style>
  <w:style w:type="paragraph" w:styleId="ListParagraph">
    <w:name w:val="List Paragraph"/>
    <w:basedOn w:val="Normal"/>
    <w:qFormat/>
    <w:rsid w:val="00604127"/>
    <w:pPr>
      <w:ind w:left="720"/>
    </w:pPr>
  </w:style>
  <w:style w:type="table" w:styleId="TableGrid">
    <w:name w:val="Table Grid"/>
    <w:basedOn w:val="TableNormal"/>
    <w:uiPriority w:val="59"/>
    <w:rsid w:val="00604127"/>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CommentReference">
    <w:name w:val="annotation reference"/>
    <w:uiPriority w:val="99"/>
    <w:semiHidden/>
    <w:unhideWhenUsed/>
    <w:rsid w:val="00604127"/>
    <w:rPr>
      <w:sz w:val="16"/>
      <w:szCs w:val="16"/>
    </w:rPr>
  </w:style>
  <w:style w:type="paragraph" w:styleId="CommentText">
    <w:name w:val="annotation text"/>
    <w:basedOn w:val="Normal"/>
    <w:link w:val="CommentTextChar"/>
    <w:uiPriority w:val="99"/>
    <w:semiHidden/>
    <w:unhideWhenUsed/>
    <w:rsid w:val="00604127"/>
  </w:style>
  <w:style w:type="character" w:customStyle="1" w:styleId="CommentTextChar">
    <w:name w:val="Comment Text Char"/>
    <w:link w:val="CommentText"/>
    <w:uiPriority w:val="99"/>
    <w:semiHidden/>
    <w:rsid w:val="00604127"/>
    <w:rPr>
      <w:rFonts w:ascii="Verdana" w:hAnsi="Verdana"/>
    </w:rPr>
  </w:style>
  <w:style w:type="paragraph" w:styleId="CommentSubject">
    <w:name w:val="annotation subject"/>
    <w:basedOn w:val="CommentText"/>
    <w:next w:val="CommentText"/>
    <w:link w:val="CommentSubjectChar"/>
    <w:uiPriority w:val="99"/>
    <w:semiHidden/>
    <w:unhideWhenUsed/>
    <w:rsid w:val="00604127"/>
    <w:rPr>
      <w:b/>
      <w:bCs/>
    </w:rPr>
  </w:style>
  <w:style w:type="character" w:customStyle="1" w:styleId="CommentSubjectChar">
    <w:name w:val="Comment Subject Char"/>
    <w:link w:val="CommentSubject"/>
    <w:uiPriority w:val="99"/>
    <w:semiHidden/>
    <w:rsid w:val="00604127"/>
    <w:rPr>
      <w:rFonts w:ascii="Verdana" w:hAnsi="Verdana"/>
      <w:b/>
      <w:bCs/>
    </w:rPr>
  </w:style>
  <w:style w:type="paragraph" w:customStyle="1" w:styleId="Figure">
    <w:name w:val="Figure"/>
    <w:basedOn w:val="BodyText"/>
    <w:next w:val="FigureCaption"/>
    <w:qFormat/>
    <w:rsid w:val="00604127"/>
  </w:style>
  <w:style w:type="character" w:styleId="UnresolvedMention">
    <w:name w:val="Unresolved Mention"/>
    <w:basedOn w:val="DefaultParagraphFont"/>
    <w:uiPriority w:val="99"/>
    <w:semiHidden/>
    <w:unhideWhenUsed/>
    <w:rsid w:val="00F763D1"/>
    <w:rPr>
      <w:color w:val="808080"/>
      <w:shd w:val="clear" w:color="auto" w:fill="E6E6E6"/>
    </w:rPr>
  </w:style>
  <w:style w:type="paragraph" w:styleId="Header">
    <w:name w:val="header"/>
    <w:basedOn w:val="Normal"/>
    <w:link w:val="HeaderChar"/>
    <w:uiPriority w:val="99"/>
    <w:unhideWhenUsed/>
    <w:rsid w:val="00911B88"/>
    <w:pPr>
      <w:tabs>
        <w:tab w:val="center" w:pos="4680"/>
        <w:tab w:val="right" w:pos="9360"/>
      </w:tabs>
    </w:pPr>
  </w:style>
  <w:style w:type="character" w:customStyle="1" w:styleId="HeaderChar">
    <w:name w:val="Header Char"/>
    <w:basedOn w:val="DefaultParagraphFont"/>
    <w:link w:val="Header"/>
    <w:uiPriority w:val="99"/>
    <w:rsid w:val="00911B88"/>
    <w:rPr>
      <w:rFonts w:ascii="Verdana" w:hAnsi="Verdana"/>
    </w:rPr>
  </w:style>
  <w:style w:type="paragraph" w:styleId="Footer">
    <w:name w:val="footer"/>
    <w:basedOn w:val="Normal"/>
    <w:link w:val="FooterChar"/>
    <w:uiPriority w:val="99"/>
    <w:unhideWhenUsed/>
    <w:rsid w:val="00911B88"/>
    <w:pPr>
      <w:tabs>
        <w:tab w:val="center" w:pos="4680"/>
        <w:tab w:val="right" w:pos="9360"/>
      </w:tabs>
    </w:pPr>
  </w:style>
  <w:style w:type="character" w:customStyle="1" w:styleId="FooterChar">
    <w:name w:val="Footer Char"/>
    <w:basedOn w:val="DefaultParagraphFont"/>
    <w:link w:val="Footer"/>
    <w:uiPriority w:val="99"/>
    <w:rsid w:val="00911B88"/>
    <w:rPr>
      <w:rFonts w:ascii="Verdana" w:hAnsi="Verdana"/>
    </w:rPr>
  </w:style>
  <w:style w:type="paragraph" w:customStyle="1" w:styleId="Boy">
    <w:name w:val="Boy"/>
    <w:basedOn w:val="BullettedBodyText"/>
    <w:rsid w:val="008F7BE4"/>
  </w:style>
  <w:style w:type="paragraph" w:styleId="NormalWeb">
    <w:name w:val="Normal (Web)"/>
    <w:basedOn w:val="Normal"/>
    <w:uiPriority w:val="99"/>
    <w:semiHidden/>
    <w:unhideWhenUsed/>
    <w:rsid w:val="007B6DA9"/>
    <w:pPr>
      <w:spacing w:before="100" w:beforeAutospacing="1" w:after="100" w:afterAutospacing="1"/>
    </w:pPr>
    <w:rPr>
      <w:szCs w:val="24"/>
    </w:rPr>
  </w:style>
  <w:style w:type="paragraph" w:customStyle="1" w:styleId="BulletedList--Publishing">
    <w:name w:val="Bulleted List--Publishing"/>
    <w:basedOn w:val="ListParagraph"/>
    <w:autoRedefine/>
    <w:qFormat/>
    <w:rsid w:val="001B4194"/>
    <w:pPr>
      <w:numPr>
        <w:numId w:val="29"/>
      </w:numPr>
      <w:spacing w:after="40" w:line="360" w:lineRule="auto"/>
    </w:pPr>
  </w:style>
  <w:style w:type="paragraph" w:customStyle="1" w:styleId="BulletedList">
    <w:name w:val="Bulleted List"/>
    <w:aliases w:val="Nested--Publishing"/>
    <w:basedOn w:val="ListParagraph"/>
    <w:qFormat/>
    <w:rsid w:val="001B4194"/>
    <w:pPr>
      <w:numPr>
        <w:ilvl w:val="1"/>
        <w:numId w:val="29"/>
      </w:numPr>
      <w:spacing w:after="40"/>
    </w:pPr>
  </w:style>
  <w:style w:type="paragraph" w:styleId="Quote">
    <w:name w:val="Quote"/>
    <w:aliases w:val="Quote--Publishing"/>
    <w:basedOn w:val="Normal"/>
    <w:next w:val="Normal"/>
    <w:link w:val="QuoteChar"/>
    <w:qFormat/>
    <w:rsid w:val="001B4194"/>
    <w:pPr>
      <w:spacing w:before="200" w:line="360" w:lineRule="auto"/>
      <w:ind w:left="864" w:right="864"/>
    </w:pPr>
    <w:rPr>
      <w:i/>
      <w:iCs/>
      <w:color w:val="404040" w:themeColor="text1" w:themeTint="BF"/>
      <w:sz w:val="22"/>
    </w:rPr>
  </w:style>
  <w:style w:type="character" w:customStyle="1" w:styleId="QuoteChar">
    <w:name w:val="Quote Char"/>
    <w:aliases w:val="Quote--Publishing Char"/>
    <w:basedOn w:val="DefaultParagraphFont"/>
    <w:link w:val="Quote"/>
    <w:rsid w:val="001B4194"/>
    <w:rPr>
      <w:rFonts w:eastAsiaTheme="minorHAnsi" w:cstheme="minorBidi"/>
      <w:i/>
      <w:iCs/>
      <w:color w:val="404040" w:themeColor="text1" w:themeTint="BF"/>
      <w:sz w:val="22"/>
      <w:szCs w:val="22"/>
    </w:rPr>
  </w:style>
  <w:style w:type="character" w:styleId="FollowedHyperlink">
    <w:name w:val="FollowedHyperlink"/>
    <w:basedOn w:val="DefaultParagraphFont"/>
    <w:uiPriority w:val="99"/>
    <w:semiHidden/>
    <w:unhideWhenUsed/>
    <w:rsid w:val="00FF3837"/>
    <w:rPr>
      <w:color w:val="954F72" w:themeColor="followedHyperlink"/>
      <w:u w:val="single"/>
    </w:rPr>
  </w:style>
  <w:style w:type="paragraph" w:customStyle="1" w:styleId="Sid">
    <w:name w:val="Sid"/>
    <w:basedOn w:val="SidebarCaption"/>
    <w:qFormat/>
    <w:rsid w:val="006E571D"/>
  </w:style>
  <w:style w:type="paragraph" w:customStyle="1" w:styleId="FirstParagraph">
    <w:name w:val="First Paragraph"/>
    <w:basedOn w:val="BodyText"/>
    <w:next w:val="BodyText"/>
    <w:qFormat/>
    <w:rsid w:val="00E4684E"/>
    <w:pPr>
      <w:spacing w:before="180" w:after="180"/>
      <w:jc w:val="left"/>
    </w:pPr>
    <w:rPr>
      <w:rFonts w:asciiTheme="minorHAnsi" w:eastAsiaTheme="minorHAnsi" w:hAnsiTheme="minorHAnsi" w:cstheme="minorBidi"/>
      <w:sz w:val="24"/>
      <w:szCs w:val="24"/>
    </w:rPr>
  </w:style>
  <w:style w:type="paragraph" w:customStyle="1" w:styleId="Compact">
    <w:name w:val="Compact"/>
    <w:basedOn w:val="BodyText"/>
    <w:qFormat/>
    <w:rsid w:val="00E4684E"/>
    <w:pPr>
      <w:spacing w:before="36" w:after="36"/>
      <w:jc w:val="left"/>
    </w:pPr>
    <w:rPr>
      <w:rFonts w:asciiTheme="minorHAnsi" w:eastAsiaTheme="minorHAnsi" w:hAnsiTheme="minorHAnsi" w:cstheme="minorBidi"/>
      <w:sz w:val="24"/>
      <w:szCs w:val="24"/>
    </w:rPr>
  </w:style>
  <w:style w:type="paragraph" w:styleId="Bibliography">
    <w:name w:val="Bibliography"/>
    <w:basedOn w:val="Normal"/>
    <w:qFormat/>
    <w:rsid w:val="00E4684E"/>
    <w:pPr>
      <w:spacing w:after="200"/>
    </w:pPr>
    <w:rPr>
      <w:rFonts w:asciiTheme="minorHAnsi" w:eastAsiaTheme="minorHAnsi" w:hAnsiTheme="minorHAnsi" w:cstheme="minorBidi"/>
      <w:sz w:val="24"/>
      <w:szCs w:val="24"/>
    </w:rPr>
  </w:style>
  <w:style w:type="paragraph" w:styleId="FootnoteText">
    <w:name w:val="footnote text"/>
    <w:basedOn w:val="Normal"/>
    <w:link w:val="FootnoteTextChar"/>
    <w:uiPriority w:val="9"/>
    <w:unhideWhenUsed/>
    <w:qFormat/>
    <w:rsid w:val="00E4684E"/>
    <w:pPr>
      <w:spacing w:after="200"/>
    </w:pPr>
    <w:rPr>
      <w:rFonts w:asciiTheme="minorHAnsi" w:eastAsiaTheme="minorHAnsi" w:hAnsiTheme="minorHAnsi" w:cstheme="minorBidi"/>
      <w:sz w:val="24"/>
      <w:szCs w:val="24"/>
    </w:rPr>
  </w:style>
  <w:style w:type="character" w:customStyle="1" w:styleId="FootnoteTextChar">
    <w:name w:val="Footnote Text Char"/>
    <w:basedOn w:val="DefaultParagraphFont"/>
    <w:link w:val="FootnoteText"/>
    <w:uiPriority w:val="9"/>
    <w:rsid w:val="00E4684E"/>
    <w:rPr>
      <w:rFonts w:asciiTheme="minorHAnsi" w:eastAsiaTheme="minorHAnsi" w:hAnsiTheme="minorHAnsi" w:cstheme="minorBidi"/>
      <w:sz w:val="24"/>
      <w:szCs w:val="24"/>
    </w:rPr>
  </w:style>
  <w:style w:type="paragraph" w:styleId="Caption">
    <w:name w:val="caption"/>
    <w:basedOn w:val="Normal"/>
    <w:link w:val="CaptionChar"/>
    <w:rsid w:val="00E4684E"/>
    <w:pPr>
      <w:spacing w:after="120"/>
    </w:pPr>
    <w:rPr>
      <w:rFonts w:asciiTheme="minorHAnsi" w:eastAsiaTheme="minorHAnsi" w:hAnsiTheme="minorHAnsi" w:cstheme="minorBidi"/>
      <w:i/>
      <w:sz w:val="24"/>
      <w:szCs w:val="24"/>
    </w:rPr>
  </w:style>
  <w:style w:type="paragraph" w:customStyle="1" w:styleId="FigurewithCaption">
    <w:name w:val="Figure with Caption"/>
    <w:basedOn w:val="Figure"/>
    <w:rsid w:val="00E4684E"/>
    <w:pPr>
      <w:spacing w:after="200"/>
      <w:jc w:val="left"/>
    </w:pPr>
    <w:rPr>
      <w:rFonts w:asciiTheme="minorHAnsi" w:eastAsiaTheme="minorHAnsi" w:hAnsiTheme="minorHAnsi" w:cstheme="minorBidi"/>
      <w:sz w:val="24"/>
      <w:szCs w:val="24"/>
    </w:rPr>
  </w:style>
  <w:style w:type="character" w:customStyle="1" w:styleId="CaptionChar">
    <w:name w:val="Caption Char"/>
    <w:basedOn w:val="DefaultParagraphFont"/>
    <w:link w:val="Caption"/>
    <w:rsid w:val="00E4684E"/>
    <w:rPr>
      <w:rFonts w:asciiTheme="minorHAnsi" w:eastAsiaTheme="minorHAnsi" w:hAnsiTheme="minorHAnsi" w:cstheme="minorBidi"/>
      <w:i/>
      <w:sz w:val="24"/>
      <w:szCs w:val="24"/>
    </w:rPr>
  </w:style>
  <w:style w:type="character" w:styleId="FootnoteReference">
    <w:name w:val="footnote reference"/>
    <w:basedOn w:val="CaptionChar"/>
    <w:rsid w:val="00E4684E"/>
    <w:rPr>
      <w:rFonts w:asciiTheme="minorHAnsi" w:eastAsiaTheme="minorHAnsi" w:hAnsiTheme="minorHAnsi" w:cstheme="minorBidi"/>
      <w:i/>
      <w:sz w:val="24"/>
      <w:szCs w:val="24"/>
      <w:vertAlign w:val="superscript"/>
    </w:rPr>
  </w:style>
  <w:style w:type="table" w:styleId="GridTable1Light">
    <w:name w:val="Grid Table 1 Light"/>
    <w:basedOn w:val="TableNormal"/>
    <w:rsid w:val="00E4684E"/>
    <w:rPr>
      <w:rFonts w:asciiTheme="minorHAnsi" w:eastAsiaTheme="minorHAnsi" w:hAnsiTheme="minorHAnsi" w:cstheme="minorBidi"/>
      <w:sz w:val="24"/>
      <w:szCs w:val="24"/>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BodyTextChar">
    <w:name w:val="Body Text Char"/>
    <w:basedOn w:val="DefaultParagraphFont"/>
    <w:link w:val="BodyText"/>
    <w:rsid w:val="00E303C9"/>
    <w:rPr>
      <w:rFonts w:ascii="Calibri" w:hAnsi="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349443">
      <w:bodyDiv w:val="1"/>
      <w:marLeft w:val="0"/>
      <w:marRight w:val="0"/>
      <w:marTop w:val="0"/>
      <w:marBottom w:val="0"/>
      <w:divBdr>
        <w:top w:val="none" w:sz="0" w:space="0" w:color="auto"/>
        <w:left w:val="none" w:sz="0" w:space="0" w:color="auto"/>
        <w:bottom w:val="none" w:sz="0" w:space="0" w:color="auto"/>
        <w:right w:val="none" w:sz="0" w:space="0" w:color="auto"/>
      </w:divBdr>
    </w:div>
    <w:div w:id="113790705">
      <w:bodyDiv w:val="1"/>
      <w:marLeft w:val="0"/>
      <w:marRight w:val="0"/>
      <w:marTop w:val="0"/>
      <w:marBottom w:val="0"/>
      <w:divBdr>
        <w:top w:val="none" w:sz="0" w:space="0" w:color="auto"/>
        <w:left w:val="none" w:sz="0" w:space="0" w:color="auto"/>
        <w:bottom w:val="none" w:sz="0" w:space="0" w:color="auto"/>
        <w:right w:val="none" w:sz="0" w:space="0" w:color="auto"/>
      </w:divBdr>
    </w:div>
    <w:div w:id="141387658">
      <w:bodyDiv w:val="1"/>
      <w:marLeft w:val="0"/>
      <w:marRight w:val="0"/>
      <w:marTop w:val="0"/>
      <w:marBottom w:val="0"/>
      <w:divBdr>
        <w:top w:val="none" w:sz="0" w:space="0" w:color="auto"/>
        <w:left w:val="none" w:sz="0" w:space="0" w:color="auto"/>
        <w:bottom w:val="none" w:sz="0" w:space="0" w:color="auto"/>
        <w:right w:val="none" w:sz="0" w:space="0" w:color="auto"/>
      </w:divBdr>
    </w:div>
    <w:div w:id="143595392">
      <w:bodyDiv w:val="1"/>
      <w:marLeft w:val="0"/>
      <w:marRight w:val="0"/>
      <w:marTop w:val="0"/>
      <w:marBottom w:val="0"/>
      <w:divBdr>
        <w:top w:val="none" w:sz="0" w:space="0" w:color="auto"/>
        <w:left w:val="none" w:sz="0" w:space="0" w:color="auto"/>
        <w:bottom w:val="none" w:sz="0" w:space="0" w:color="auto"/>
        <w:right w:val="none" w:sz="0" w:space="0" w:color="auto"/>
      </w:divBdr>
    </w:div>
    <w:div w:id="184557732">
      <w:bodyDiv w:val="1"/>
      <w:marLeft w:val="0"/>
      <w:marRight w:val="0"/>
      <w:marTop w:val="0"/>
      <w:marBottom w:val="0"/>
      <w:divBdr>
        <w:top w:val="none" w:sz="0" w:space="0" w:color="auto"/>
        <w:left w:val="none" w:sz="0" w:space="0" w:color="auto"/>
        <w:bottom w:val="none" w:sz="0" w:space="0" w:color="auto"/>
        <w:right w:val="none" w:sz="0" w:space="0" w:color="auto"/>
      </w:divBdr>
    </w:div>
    <w:div w:id="194587955">
      <w:bodyDiv w:val="1"/>
      <w:marLeft w:val="0"/>
      <w:marRight w:val="0"/>
      <w:marTop w:val="0"/>
      <w:marBottom w:val="0"/>
      <w:divBdr>
        <w:top w:val="none" w:sz="0" w:space="0" w:color="auto"/>
        <w:left w:val="none" w:sz="0" w:space="0" w:color="auto"/>
        <w:bottom w:val="none" w:sz="0" w:space="0" w:color="auto"/>
        <w:right w:val="none" w:sz="0" w:space="0" w:color="auto"/>
      </w:divBdr>
    </w:div>
    <w:div w:id="221647548">
      <w:bodyDiv w:val="1"/>
      <w:marLeft w:val="0"/>
      <w:marRight w:val="0"/>
      <w:marTop w:val="0"/>
      <w:marBottom w:val="0"/>
      <w:divBdr>
        <w:top w:val="none" w:sz="0" w:space="0" w:color="auto"/>
        <w:left w:val="none" w:sz="0" w:space="0" w:color="auto"/>
        <w:bottom w:val="none" w:sz="0" w:space="0" w:color="auto"/>
        <w:right w:val="none" w:sz="0" w:space="0" w:color="auto"/>
      </w:divBdr>
    </w:div>
    <w:div w:id="268509698">
      <w:bodyDiv w:val="1"/>
      <w:marLeft w:val="0"/>
      <w:marRight w:val="0"/>
      <w:marTop w:val="0"/>
      <w:marBottom w:val="0"/>
      <w:divBdr>
        <w:top w:val="none" w:sz="0" w:space="0" w:color="auto"/>
        <w:left w:val="none" w:sz="0" w:space="0" w:color="auto"/>
        <w:bottom w:val="none" w:sz="0" w:space="0" w:color="auto"/>
        <w:right w:val="none" w:sz="0" w:space="0" w:color="auto"/>
      </w:divBdr>
    </w:div>
    <w:div w:id="288711135">
      <w:bodyDiv w:val="1"/>
      <w:marLeft w:val="0"/>
      <w:marRight w:val="0"/>
      <w:marTop w:val="0"/>
      <w:marBottom w:val="0"/>
      <w:divBdr>
        <w:top w:val="none" w:sz="0" w:space="0" w:color="auto"/>
        <w:left w:val="none" w:sz="0" w:space="0" w:color="auto"/>
        <w:bottom w:val="none" w:sz="0" w:space="0" w:color="auto"/>
        <w:right w:val="none" w:sz="0" w:space="0" w:color="auto"/>
      </w:divBdr>
    </w:div>
    <w:div w:id="316882978">
      <w:bodyDiv w:val="1"/>
      <w:marLeft w:val="0"/>
      <w:marRight w:val="0"/>
      <w:marTop w:val="0"/>
      <w:marBottom w:val="0"/>
      <w:divBdr>
        <w:top w:val="none" w:sz="0" w:space="0" w:color="auto"/>
        <w:left w:val="none" w:sz="0" w:space="0" w:color="auto"/>
        <w:bottom w:val="none" w:sz="0" w:space="0" w:color="auto"/>
        <w:right w:val="none" w:sz="0" w:space="0" w:color="auto"/>
      </w:divBdr>
    </w:div>
    <w:div w:id="327907054">
      <w:bodyDiv w:val="1"/>
      <w:marLeft w:val="0"/>
      <w:marRight w:val="0"/>
      <w:marTop w:val="0"/>
      <w:marBottom w:val="0"/>
      <w:divBdr>
        <w:top w:val="none" w:sz="0" w:space="0" w:color="auto"/>
        <w:left w:val="none" w:sz="0" w:space="0" w:color="auto"/>
        <w:bottom w:val="none" w:sz="0" w:space="0" w:color="auto"/>
        <w:right w:val="none" w:sz="0" w:space="0" w:color="auto"/>
      </w:divBdr>
    </w:div>
    <w:div w:id="364600157">
      <w:bodyDiv w:val="1"/>
      <w:marLeft w:val="0"/>
      <w:marRight w:val="0"/>
      <w:marTop w:val="0"/>
      <w:marBottom w:val="0"/>
      <w:divBdr>
        <w:top w:val="none" w:sz="0" w:space="0" w:color="auto"/>
        <w:left w:val="none" w:sz="0" w:space="0" w:color="auto"/>
        <w:bottom w:val="none" w:sz="0" w:space="0" w:color="auto"/>
        <w:right w:val="none" w:sz="0" w:space="0" w:color="auto"/>
      </w:divBdr>
    </w:div>
    <w:div w:id="365523282">
      <w:bodyDiv w:val="1"/>
      <w:marLeft w:val="0"/>
      <w:marRight w:val="0"/>
      <w:marTop w:val="0"/>
      <w:marBottom w:val="0"/>
      <w:divBdr>
        <w:top w:val="none" w:sz="0" w:space="0" w:color="auto"/>
        <w:left w:val="none" w:sz="0" w:space="0" w:color="auto"/>
        <w:bottom w:val="none" w:sz="0" w:space="0" w:color="auto"/>
        <w:right w:val="none" w:sz="0" w:space="0" w:color="auto"/>
      </w:divBdr>
    </w:div>
    <w:div w:id="409616472">
      <w:bodyDiv w:val="1"/>
      <w:marLeft w:val="0"/>
      <w:marRight w:val="0"/>
      <w:marTop w:val="0"/>
      <w:marBottom w:val="0"/>
      <w:divBdr>
        <w:top w:val="none" w:sz="0" w:space="0" w:color="auto"/>
        <w:left w:val="none" w:sz="0" w:space="0" w:color="auto"/>
        <w:bottom w:val="none" w:sz="0" w:space="0" w:color="auto"/>
        <w:right w:val="none" w:sz="0" w:space="0" w:color="auto"/>
      </w:divBdr>
    </w:div>
    <w:div w:id="570771532">
      <w:bodyDiv w:val="1"/>
      <w:marLeft w:val="0"/>
      <w:marRight w:val="0"/>
      <w:marTop w:val="0"/>
      <w:marBottom w:val="0"/>
      <w:divBdr>
        <w:top w:val="none" w:sz="0" w:space="0" w:color="auto"/>
        <w:left w:val="none" w:sz="0" w:space="0" w:color="auto"/>
        <w:bottom w:val="none" w:sz="0" w:space="0" w:color="auto"/>
        <w:right w:val="none" w:sz="0" w:space="0" w:color="auto"/>
      </w:divBdr>
    </w:div>
    <w:div w:id="595986832">
      <w:bodyDiv w:val="1"/>
      <w:marLeft w:val="0"/>
      <w:marRight w:val="0"/>
      <w:marTop w:val="0"/>
      <w:marBottom w:val="0"/>
      <w:divBdr>
        <w:top w:val="none" w:sz="0" w:space="0" w:color="auto"/>
        <w:left w:val="none" w:sz="0" w:space="0" w:color="auto"/>
        <w:bottom w:val="none" w:sz="0" w:space="0" w:color="auto"/>
        <w:right w:val="none" w:sz="0" w:space="0" w:color="auto"/>
      </w:divBdr>
    </w:div>
    <w:div w:id="612248515">
      <w:bodyDiv w:val="1"/>
      <w:marLeft w:val="0"/>
      <w:marRight w:val="0"/>
      <w:marTop w:val="0"/>
      <w:marBottom w:val="0"/>
      <w:divBdr>
        <w:top w:val="none" w:sz="0" w:space="0" w:color="auto"/>
        <w:left w:val="none" w:sz="0" w:space="0" w:color="auto"/>
        <w:bottom w:val="none" w:sz="0" w:space="0" w:color="auto"/>
        <w:right w:val="none" w:sz="0" w:space="0" w:color="auto"/>
      </w:divBdr>
    </w:div>
    <w:div w:id="727604869">
      <w:bodyDiv w:val="1"/>
      <w:marLeft w:val="0"/>
      <w:marRight w:val="0"/>
      <w:marTop w:val="0"/>
      <w:marBottom w:val="0"/>
      <w:divBdr>
        <w:top w:val="none" w:sz="0" w:space="0" w:color="auto"/>
        <w:left w:val="none" w:sz="0" w:space="0" w:color="auto"/>
        <w:bottom w:val="none" w:sz="0" w:space="0" w:color="auto"/>
        <w:right w:val="none" w:sz="0" w:space="0" w:color="auto"/>
      </w:divBdr>
    </w:div>
    <w:div w:id="771240356">
      <w:bodyDiv w:val="1"/>
      <w:marLeft w:val="0"/>
      <w:marRight w:val="0"/>
      <w:marTop w:val="0"/>
      <w:marBottom w:val="0"/>
      <w:divBdr>
        <w:top w:val="none" w:sz="0" w:space="0" w:color="auto"/>
        <w:left w:val="none" w:sz="0" w:space="0" w:color="auto"/>
        <w:bottom w:val="none" w:sz="0" w:space="0" w:color="auto"/>
        <w:right w:val="none" w:sz="0" w:space="0" w:color="auto"/>
      </w:divBdr>
    </w:div>
    <w:div w:id="793056456">
      <w:bodyDiv w:val="1"/>
      <w:marLeft w:val="0"/>
      <w:marRight w:val="0"/>
      <w:marTop w:val="0"/>
      <w:marBottom w:val="0"/>
      <w:divBdr>
        <w:top w:val="none" w:sz="0" w:space="0" w:color="auto"/>
        <w:left w:val="none" w:sz="0" w:space="0" w:color="auto"/>
        <w:bottom w:val="none" w:sz="0" w:space="0" w:color="auto"/>
        <w:right w:val="none" w:sz="0" w:space="0" w:color="auto"/>
      </w:divBdr>
    </w:div>
    <w:div w:id="798182982">
      <w:bodyDiv w:val="1"/>
      <w:marLeft w:val="0"/>
      <w:marRight w:val="0"/>
      <w:marTop w:val="0"/>
      <w:marBottom w:val="0"/>
      <w:divBdr>
        <w:top w:val="none" w:sz="0" w:space="0" w:color="auto"/>
        <w:left w:val="none" w:sz="0" w:space="0" w:color="auto"/>
        <w:bottom w:val="none" w:sz="0" w:space="0" w:color="auto"/>
        <w:right w:val="none" w:sz="0" w:space="0" w:color="auto"/>
      </w:divBdr>
      <w:divsChild>
        <w:div w:id="1317414485">
          <w:marLeft w:val="0"/>
          <w:marRight w:val="0"/>
          <w:marTop w:val="0"/>
          <w:marBottom w:val="0"/>
          <w:divBdr>
            <w:top w:val="none" w:sz="0" w:space="0" w:color="auto"/>
            <w:left w:val="none" w:sz="0" w:space="0" w:color="auto"/>
            <w:bottom w:val="none" w:sz="0" w:space="0" w:color="auto"/>
            <w:right w:val="none" w:sz="0" w:space="0" w:color="auto"/>
          </w:divBdr>
        </w:div>
      </w:divsChild>
    </w:div>
    <w:div w:id="848717177">
      <w:bodyDiv w:val="1"/>
      <w:marLeft w:val="0"/>
      <w:marRight w:val="0"/>
      <w:marTop w:val="0"/>
      <w:marBottom w:val="0"/>
      <w:divBdr>
        <w:top w:val="none" w:sz="0" w:space="0" w:color="auto"/>
        <w:left w:val="none" w:sz="0" w:space="0" w:color="auto"/>
        <w:bottom w:val="none" w:sz="0" w:space="0" w:color="auto"/>
        <w:right w:val="none" w:sz="0" w:space="0" w:color="auto"/>
      </w:divBdr>
    </w:div>
    <w:div w:id="883370010">
      <w:bodyDiv w:val="1"/>
      <w:marLeft w:val="0"/>
      <w:marRight w:val="0"/>
      <w:marTop w:val="0"/>
      <w:marBottom w:val="0"/>
      <w:divBdr>
        <w:top w:val="none" w:sz="0" w:space="0" w:color="auto"/>
        <w:left w:val="none" w:sz="0" w:space="0" w:color="auto"/>
        <w:bottom w:val="none" w:sz="0" w:space="0" w:color="auto"/>
        <w:right w:val="none" w:sz="0" w:space="0" w:color="auto"/>
      </w:divBdr>
    </w:div>
    <w:div w:id="976684723">
      <w:bodyDiv w:val="1"/>
      <w:marLeft w:val="0"/>
      <w:marRight w:val="0"/>
      <w:marTop w:val="0"/>
      <w:marBottom w:val="0"/>
      <w:divBdr>
        <w:top w:val="none" w:sz="0" w:space="0" w:color="auto"/>
        <w:left w:val="none" w:sz="0" w:space="0" w:color="auto"/>
        <w:bottom w:val="none" w:sz="0" w:space="0" w:color="auto"/>
        <w:right w:val="none" w:sz="0" w:space="0" w:color="auto"/>
      </w:divBdr>
    </w:div>
    <w:div w:id="983506937">
      <w:bodyDiv w:val="1"/>
      <w:marLeft w:val="0"/>
      <w:marRight w:val="0"/>
      <w:marTop w:val="0"/>
      <w:marBottom w:val="0"/>
      <w:divBdr>
        <w:top w:val="none" w:sz="0" w:space="0" w:color="auto"/>
        <w:left w:val="none" w:sz="0" w:space="0" w:color="auto"/>
        <w:bottom w:val="none" w:sz="0" w:space="0" w:color="auto"/>
        <w:right w:val="none" w:sz="0" w:space="0" w:color="auto"/>
      </w:divBdr>
    </w:div>
    <w:div w:id="988051132">
      <w:bodyDiv w:val="1"/>
      <w:marLeft w:val="0"/>
      <w:marRight w:val="0"/>
      <w:marTop w:val="0"/>
      <w:marBottom w:val="0"/>
      <w:divBdr>
        <w:top w:val="none" w:sz="0" w:space="0" w:color="auto"/>
        <w:left w:val="none" w:sz="0" w:space="0" w:color="auto"/>
        <w:bottom w:val="none" w:sz="0" w:space="0" w:color="auto"/>
        <w:right w:val="none" w:sz="0" w:space="0" w:color="auto"/>
      </w:divBdr>
    </w:div>
    <w:div w:id="1036734314">
      <w:bodyDiv w:val="1"/>
      <w:marLeft w:val="0"/>
      <w:marRight w:val="0"/>
      <w:marTop w:val="0"/>
      <w:marBottom w:val="0"/>
      <w:divBdr>
        <w:top w:val="none" w:sz="0" w:space="0" w:color="auto"/>
        <w:left w:val="none" w:sz="0" w:space="0" w:color="auto"/>
        <w:bottom w:val="none" w:sz="0" w:space="0" w:color="auto"/>
        <w:right w:val="none" w:sz="0" w:space="0" w:color="auto"/>
      </w:divBdr>
    </w:div>
    <w:div w:id="1162425582">
      <w:bodyDiv w:val="1"/>
      <w:marLeft w:val="0"/>
      <w:marRight w:val="0"/>
      <w:marTop w:val="0"/>
      <w:marBottom w:val="0"/>
      <w:divBdr>
        <w:top w:val="none" w:sz="0" w:space="0" w:color="auto"/>
        <w:left w:val="none" w:sz="0" w:space="0" w:color="auto"/>
        <w:bottom w:val="none" w:sz="0" w:space="0" w:color="auto"/>
        <w:right w:val="none" w:sz="0" w:space="0" w:color="auto"/>
      </w:divBdr>
    </w:div>
    <w:div w:id="1264458616">
      <w:bodyDiv w:val="1"/>
      <w:marLeft w:val="0"/>
      <w:marRight w:val="0"/>
      <w:marTop w:val="0"/>
      <w:marBottom w:val="0"/>
      <w:divBdr>
        <w:top w:val="none" w:sz="0" w:space="0" w:color="auto"/>
        <w:left w:val="none" w:sz="0" w:space="0" w:color="auto"/>
        <w:bottom w:val="none" w:sz="0" w:space="0" w:color="auto"/>
        <w:right w:val="none" w:sz="0" w:space="0" w:color="auto"/>
      </w:divBdr>
    </w:div>
    <w:div w:id="1327171651">
      <w:bodyDiv w:val="1"/>
      <w:marLeft w:val="0"/>
      <w:marRight w:val="0"/>
      <w:marTop w:val="0"/>
      <w:marBottom w:val="0"/>
      <w:divBdr>
        <w:top w:val="none" w:sz="0" w:space="0" w:color="auto"/>
        <w:left w:val="none" w:sz="0" w:space="0" w:color="auto"/>
        <w:bottom w:val="none" w:sz="0" w:space="0" w:color="auto"/>
        <w:right w:val="none" w:sz="0" w:space="0" w:color="auto"/>
      </w:divBdr>
    </w:div>
    <w:div w:id="1521310288">
      <w:bodyDiv w:val="1"/>
      <w:marLeft w:val="0"/>
      <w:marRight w:val="0"/>
      <w:marTop w:val="0"/>
      <w:marBottom w:val="0"/>
      <w:divBdr>
        <w:top w:val="none" w:sz="0" w:space="0" w:color="auto"/>
        <w:left w:val="none" w:sz="0" w:space="0" w:color="auto"/>
        <w:bottom w:val="none" w:sz="0" w:space="0" w:color="auto"/>
        <w:right w:val="none" w:sz="0" w:space="0" w:color="auto"/>
      </w:divBdr>
    </w:div>
    <w:div w:id="1605377978">
      <w:bodyDiv w:val="1"/>
      <w:marLeft w:val="0"/>
      <w:marRight w:val="0"/>
      <w:marTop w:val="0"/>
      <w:marBottom w:val="0"/>
      <w:divBdr>
        <w:top w:val="none" w:sz="0" w:space="0" w:color="auto"/>
        <w:left w:val="none" w:sz="0" w:space="0" w:color="auto"/>
        <w:bottom w:val="none" w:sz="0" w:space="0" w:color="auto"/>
        <w:right w:val="none" w:sz="0" w:space="0" w:color="auto"/>
      </w:divBdr>
    </w:div>
    <w:div w:id="1612127702">
      <w:bodyDiv w:val="1"/>
      <w:marLeft w:val="0"/>
      <w:marRight w:val="0"/>
      <w:marTop w:val="0"/>
      <w:marBottom w:val="0"/>
      <w:divBdr>
        <w:top w:val="none" w:sz="0" w:space="0" w:color="auto"/>
        <w:left w:val="none" w:sz="0" w:space="0" w:color="auto"/>
        <w:bottom w:val="none" w:sz="0" w:space="0" w:color="auto"/>
        <w:right w:val="none" w:sz="0" w:space="0" w:color="auto"/>
      </w:divBdr>
    </w:div>
    <w:div w:id="1619681857">
      <w:bodyDiv w:val="1"/>
      <w:marLeft w:val="0"/>
      <w:marRight w:val="0"/>
      <w:marTop w:val="0"/>
      <w:marBottom w:val="0"/>
      <w:divBdr>
        <w:top w:val="none" w:sz="0" w:space="0" w:color="auto"/>
        <w:left w:val="none" w:sz="0" w:space="0" w:color="auto"/>
        <w:bottom w:val="none" w:sz="0" w:space="0" w:color="auto"/>
        <w:right w:val="none" w:sz="0" w:space="0" w:color="auto"/>
      </w:divBdr>
    </w:div>
    <w:div w:id="1630089870">
      <w:bodyDiv w:val="1"/>
      <w:marLeft w:val="0"/>
      <w:marRight w:val="0"/>
      <w:marTop w:val="0"/>
      <w:marBottom w:val="0"/>
      <w:divBdr>
        <w:top w:val="none" w:sz="0" w:space="0" w:color="auto"/>
        <w:left w:val="none" w:sz="0" w:space="0" w:color="auto"/>
        <w:bottom w:val="none" w:sz="0" w:space="0" w:color="auto"/>
        <w:right w:val="none" w:sz="0" w:space="0" w:color="auto"/>
      </w:divBdr>
    </w:div>
    <w:div w:id="1711104250">
      <w:bodyDiv w:val="1"/>
      <w:marLeft w:val="0"/>
      <w:marRight w:val="0"/>
      <w:marTop w:val="0"/>
      <w:marBottom w:val="0"/>
      <w:divBdr>
        <w:top w:val="none" w:sz="0" w:space="0" w:color="auto"/>
        <w:left w:val="none" w:sz="0" w:space="0" w:color="auto"/>
        <w:bottom w:val="none" w:sz="0" w:space="0" w:color="auto"/>
        <w:right w:val="none" w:sz="0" w:space="0" w:color="auto"/>
      </w:divBdr>
    </w:div>
    <w:div w:id="1735590969">
      <w:bodyDiv w:val="1"/>
      <w:marLeft w:val="0"/>
      <w:marRight w:val="0"/>
      <w:marTop w:val="0"/>
      <w:marBottom w:val="0"/>
      <w:divBdr>
        <w:top w:val="none" w:sz="0" w:space="0" w:color="auto"/>
        <w:left w:val="none" w:sz="0" w:space="0" w:color="auto"/>
        <w:bottom w:val="none" w:sz="0" w:space="0" w:color="auto"/>
        <w:right w:val="none" w:sz="0" w:space="0" w:color="auto"/>
      </w:divBdr>
    </w:div>
    <w:div w:id="1785149070">
      <w:bodyDiv w:val="1"/>
      <w:marLeft w:val="0"/>
      <w:marRight w:val="0"/>
      <w:marTop w:val="0"/>
      <w:marBottom w:val="0"/>
      <w:divBdr>
        <w:top w:val="none" w:sz="0" w:space="0" w:color="auto"/>
        <w:left w:val="none" w:sz="0" w:space="0" w:color="auto"/>
        <w:bottom w:val="none" w:sz="0" w:space="0" w:color="auto"/>
        <w:right w:val="none" w:sz="0" w:space="0" w:color="auto"/>
      </w:divBdr>
    </w:div>
    <w:div w:id="1866559096">
      <w:bodyDiv w:val="1"/>
      <w:marLeft w:val="0"/>
      <w:marRight w:val="0"/>
      <w:marTop w:val="0"/>
      <w:marBottom w:val="0"/>
      <w:divBdr>
        <w:top w:val="none" w:sz="0" w:space="0" w:color="auto"/>
        <w:left w:val="none" w:sz="0" w:space="0" w:color="auto"/>
        <w:bottom w:val="none" w:sz="0" w:space="0" w:color="auto"/>
        <w:right w:val="none" w:sz="0" w:space="0" w:color="auto"/>
      </w:divBdr>
    </w:div>
    <w:div w:id="1929924798">
      <w:bodyDiv w:val="1"/>
      <w:marLeft w:val="0"/>
      <w:marRight w:val="0"/>
      <w:marTop w:val="0"/>
      <w:marBottom w:val="0"/>
      <w:divBdr>
        <w:top w:val="none" w:sz="0" w:space="0" w:color="auto"/>
        <w:left w:val="none" w:sz="0" w:space="0" w:color="auto"/>
        <w:bottom w:val="none" w:sz="0" w:space="0" w:color="auto"/>
        <w:right w:val="none" w:sz="0" w:space="0" w:color="auto"/>
      </w:divBdr>
    </w:div>
    <w:div w:id="1950161085">
      <w:bodyDiv w:val="1"/>
      <w:marLeft w:val="0"/>
      <w:marRight w:val="0"/>
      <w:marTop w:val="0"/>
      <w:marBottom w:val="0"/>
      <w:divBdr>
        <w:top w:val="none" w:sz="0" w:space="0" w:color="auto"/>
        <w:left w:val="none" w:sz="0" w:space="0" w:color="auto"/>
        <w:bottom w:val="none" w:sz="0" w:space="0" w:color="auto"/>
        <w:right w:val="none" w:sz="0" w:space="0" w:color="auto"/>
      </w:divBdr>
    </w:div>
    <w:div w:id="1957907272">
      <w:bodyDiv w:val="1"/>
      <w:marLeft w:val="0"/>
      <w:marRight w:val="0"/>
      <w:marTop w:val="0"/>
      <w:marBottom w:val="0"/>
      <w:divBdr>
        <w:top w:val="none" w:sz="0" w:space="0" w:color="auto"/>
        <w:left w:val="none" w:sz="0" w:space="0" w:color="auto"/>
        <w:bottom w:val="none" w:sz="0" w:space="0" w:color="auto"/>
        <w:right w:val="none" w:sz="0" w:space="0" w:color="auto"/>
      </w:divBdr>
    </w:div>
    <w:div w:id="1988120769">
      <w:bodyDiv w:val="1"/>
      <w:marLeft w:val="0"/>
      <w:marRight w:val="0"/>
      <w:marTop w:val="0"/>
      <w:marBottom w:val="0"/>
      <w:divBdr>
        <w:top w:val="none" w:sz="0" w:space="0" w:color="auto"/>
        <w:left w:val="none" w:sz="0" w:space="0" w:color="auto"/>
        <w:bottom w:val="none" w:sz="0" w:space="0" w:color="auto"/>
        <w:right w:val="none" w:sz="0" w:space="0" w:color="auto"/>
      </w:divBdr>
    </w:div>
    <w:div w:id="2030328760">
      <w:bodyDiv w:val="1"/>
      <w:marLeft w:val="0"/>
      <w:marRight w:val="0"/>
      <w:marTop w:val="0"/>
      <w:marBottom w:val="0"/>
      <w:divBdr>
        <w:top w:val="none" w:sz="0" w:space="0" w:color="auto"/>
        <w:left w:val="none" w:sz="0" w:space="0" w:color="auto"/>
        <w:bottom w:val="none" w:sz="0" w:space="0" w:color="auto"/>
        <w:right w:val="none" w:sz="0" w:space="0" w:color="auto"/>
      </w:divBdr>
    </w:div>
    <w:div w:id="2048097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elanie%20Spiller\AppData\Roaming\Microsoft\Templates\CODE%20Magazine%20Style%20Guide%20and%20Template%202014.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4D07DAEB0B2D845A42B262E083EDB6C" ma:contentTypeVersion="8" ma:contentTypeDescription="Create a new document." ma:contentTypeScope="" ma:versionID="e8ab0fc0a4fe7a781d08b7f8e19ce704">
  <xsd:schema xmlns:xsd="http://www.w3.org/2001/XMLSchema" xmlns:xs="http://www.w3.org/2001/XMLSchema" xmlns:p="http://schemas.microsoft.com/office/2006/metadata/properties" xmlns:ns2="b61327b7-bc8d-4171-a260-72d975658d33" xmlns:ns3="f183b691-3857-49fb-8a6b-de90e00c7808" targetNamespace="http://schemas.microsoft.com/office/2006/metadata/properties" ma:root="true" ma:fieldsID="d8dda064533af7e1c1258eaf4e0ca24b" ns2:_="" ns3:_="">
    <xsd:import namespace="b61327b7-bc8d-4171-a260-72d975658d33"/>
    <xsd:import namespace="f183b691-3857-49fb-8a6b-de90e00c7808"/>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DateTaken" minOccurs="0"/>
                <xsd:element ref="ns2:MediaServiceOCR" minOccurs="0"/>
                <xsd:element ref="ns2:MediaServiceLocatio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61327b7-bc8d-4171-a260-72d975658d3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DateTaken" ma:index="11" nillable="true" ma:displayName="MediaServiceDateTaken" ma:hidden="true" ma:internalName="MediaServiceDateTaken"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Location" ma:index="13"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183b691-3857-49fb-8a6b-de90e00c7808"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b:Source>
    <b:Tag>Kim13</b:Tag>
    <b:SourceType>InternetSite</b:SourceType>
    <b:Guid>{125E1473-73D0-41E3-B986-28BD8B754C1A}</b:Guid>
    <b:Author>
      <b:Author>
        <b:NameList xmlns:msxsl="urn:schemas-microsoft-com:xslt" xmlns:b="http://schemas.openxmlformats.org/officeDocument/2006/bibliography">
          <b:Person>
            <b:Last>Kim</b:Last>
            <b:First>Gene</b:First>
            <b:Middle/>
          </b:Person>
          <b:Person>
            <b:Last>Behr</b:Last>
            <b:First>Kevin</b:First>
            <b:Middle/>
          </b:Person>
          <b:Person>
            <b:Last>Spafford</b:Last>
            <b:First>George</b:First>
            <b:Middle/>
          </b:Person>
        </b:NameList>
      </b:Author>
    </b:Author>
    <b:Title>The Phoenix Project: A Novel About IT, DevOps, and Helping Your Business Win</b:Title>
    <b:InternetSiteTitle/>
    <b:ProductionCompany/>
    <b:Year>2013</b:Year>
    <b:Month/>
    <b:Day/>
    <b:YearAccessed>2019</b:YearAccessed>
    <b:MonthAccessed>2</b:MonthAccessed>
    <b:DayAccessed>18</b:DayAccessed>
    <b:URL>https://amazon.com/phoenix-project-devops-helping-business/dp/0988262592</b:URL>
    <b:Version/>
    <b:ShortTitle/>
    <b:StandardNumber/>
    <b:Comments/>
    <b:Medium/>
    <b:DOI/>
    <b:RefOrder>1</b:RefOrder>
  </b:Source>
  <b:Source>
    <b:Tag>Bec01</b:Tag>
    <b:SourceType>InternetSite</b:SourceType>
    <b:Guid>{88751036-56B6-4E58-90D6-73769BFF4CD2}</b:Guid>
    <b:Author>
      <b:Author>
        <b:NameList xmlns:msxsl="urn:schemas-microsoft-com:xslt" xmlns:b="http://schemas.openxmlformats.org/officeDocument/2006/bibliography">
          <b:Person>
            <b:Last>Beck</b:Last>
            <b:First>Kent</b:First>
            <b:Middle/>
          </b:Person>
          <b:Person>
            <b:Last>Grenning</b:Last>
            <b:First>James</b:First>
            <b:Middle/>
          </b:Person>
          <b:Person>
            <b:Last>Martin</b:Last>
            <b:First>Robert</b:First>
            <b:Middle>C.</b:Middle>
          </b:Person>
          <b:Person>
            <b:Last>Beedle</b:Last>
            <b:First>Mike</b:First>
            <b:Middle/>
          </b:Person>
          <b:Person>
            <b:Last>Highsmith</b:Last>
            <b:First>Jim</b:First>
            <b:Middle/>
          </b:Person>
          <b:Person>
            <b:Last>Mellor</b:Last>
            <b:First>Steve</b:First>
            <b:Middle/>
          </b:Person>
          <b:Person>
            <b:Last>Bennekum</b:Last>
            <b:First>Arie</b:First>
            <b:Middle>van</b:Middle>
          </b:Person>
          <b:Person>
            <b:Last>Hunt</b:Last>
            <b:First>Andrew</b:First>
            <b:Middle/>
          </b:Person>
          <b:Person>
            <b:Last>Schwaber</b:Last>
            <b:First>Ken</b:First>
            <b:Middle/>
          </b:Person>
          <b:Person>
            <b:Last>Cockburn</b:Last>
            <b:First>Alistair</b:First>
            <b:Middle/>
          </b:Person>
          <b:Person>
            <b:Last>Jeffries</b:Last>
            <b:First>Ron</b:First>
            <b:Middle/>
          </b:Person>
          <b:Person>
            <b:Last>Sutherland</b:Last>
            <b:First>Jeff</b:First>
            <b:Middle/>
          </b:Person>
          <b:Person>
            <b:Last>Cunningham</b:Last>
            <b:First>Ward</b:First>
            <b:Middle/>
          </b:Person>
          <b:Person>
            <b:Last>Kern</b:Last>
            <b:First>Jon</b:First>
            <b:Middle/>
          </b:Person>
          <b:Person>
            <b:Last>Thomas</b:Last>
            <b:First>Dave</b:First>
            <b:Middle/>
          </b:Person>
          <b:Person>
            <b:Last>Fowler</b:Last>
            <b:First>Martin</b:First>
            <b:Middle/>
          </b:Person>
          <b:Person>
            <b:Last>Marick</b:Last>
            <b:First>Brian</b:First>
            <b:Middle/>
          </b:Person>
        </b:NameList>
      </b:Author>
    </b:Author>
    <b:Title>Manifesto for Agile Software Development</b:Title>
    <b:InternetSiteTitle>Agile Alliance</b:InternetSiteTitle>
    <b:ProductionCompany/>
    <b:Year>2001</b:Year>
    <b:Month/>
    <b:Day/>
    <b:YearAccessed>2019</b:YearAccessed>
    <b:MonthAccessed>2</b:MonthAccessed>
    <b:DayAccessed>18</b:DayAccessed>
    <b:URL>http://agilemanifesto.org/</b:URL>
    <b:Version/>
    <b:ShortTitle/>
    <b:StandardNumber/>
    <b:Comments/>
    <b:Medium/>
    <b:DOI/>
    <b:RefOrder>2</b:RefOrder>
  </b:Source>
  <b:Source>
    <b:Tag>Mic19</b:Tag>
    <b:SourceType>InternetSite</b:SourceType>
    <b:Guid>{C1E15654-BF02-4A81-9A42-92FE446B155E}</b:Guid>
    <b:Title>Microsoft to acquire GitHub for $7.5 billion</b:Title>
    <b:InternetSiteTitle/>
    <b:ProductionCompany/>
    <b:Year/>
    <b:Month/>
    <b:Day/>
    <b:YearAccessed>2019</b:YearAccessed>
    <b:MonthAccessed>2</b:MonthAccessed>
    <b:DayAccessed>18</b:DayAccessed>
    <b:URL>https://news.microsoft.com/2018/06/04/microsoft-to-acquire-github-for-7-5-billion/</b:URL>
    <b:Version/>
    <b:ShortTitle/>
    <b:StandardNumber/>
    <b:Comments/>
    <b:Medium/>
    <b:DOI/>
    <b:RefOrder>3</b:RefOrder>
  </b:Source>
  <b:Source>
    <b:Tag>Ado</b:Tag>
    <b:SourceType>InternetSite</b:SourceType>
    <b:Guid>{DA290C0D-4CBF-4649-85A7-23555B81D912}</b:Guid>
    <b:Title>Adopt a Git branching strategy</b:Title>
    <b:YearAccessed>2019</b:YearAccessed>
    <b:MonthAccessed>2</b:MonthAccessed>
    <b:DayAccessed>18</b:DayAccessed>
    <b:URL>https://docs.microsoft.com/en-us/azure/devops/repos/git/git-branching-guidance?view=azure-devops</b:URL>
    <b:RefOrder>4</b:RefOrder>
  </b:Source>
  <b:Source>
    <b:Tag>Azu</b:Tag>
    <b:SourceType>InternetSite</b:SourceType>
    <b:Guid>{32C76510-6D56-4F71-A817-EE8B386A8803}</b:Guid>
    <b:Title>Azure Boards Documentation</b:Title>
    <b:Publisher>https://docs.microsoft.com/en-us/azure/devops/boards/?view=azure-devops</b:Publisher>
    <b:URL>https://docs.microsoft.com/en-us/azure/devops/boards/?view=azure-devops</b:URL>
    <b:RefOrder>5</b:RefOrder>
  </b:Source>
  <b:Source>
    <b:Tag>Dev</b:Tag>
    <b:SourceType>InternetSite</b:SourceType>
    <b:Guid>{18443904-D15F-4A40-B7B5-976344E6067A}</b:Guid>
    <b:InternetSiteTitle>DevOps at Microsoft</b:InternetSiteTitle>
    <b:URL>https://docs.microsoft.com/en-us/azure/devops/learn/devops-at-microsoft/</b:URL>
    <b:RefOrder>6</b:RefOrder>
  </b:Source>
  <b:Source>
    <b:Tag>Pau</b:Tag>
    <b:SourceType>DocumentFromInternetSite</b:SourceType>
    <b:Guid>{CE08FB59-A411-4535-90E0-33EDFEFCA534}</b:Guid>
    <b:Author>
      <b:Author>
        <b:NameList>
          <b:Person>
            <b:Last>Hammant</b:Last>
            <b:First>Paul</b:First>
          </b:Person>
        </b:NameList>
      </b:Author>
    </b:Author>
    <b:InternetSiteTitle>Trunk Based Development</b:InternetSiteTitle>
    <b:URL>https://trunkbaseddevelopment.com/</b:URL>
    <b:RefOrder>7</b:RefOrder>
  </b:Source>
  <b:Source>
    <b:Tag>Duv07</b:Tag>
    <b:SourceType>Book</b:SourceType>
    <b:Guid>{9BF1BB28-C665-4437-B793-3DC7449A9927}</b:Guid>
    <b:Author>
      <b:Author>
        <b:NameList>
          <b:Person>
            <b:Last>Duvall</b:Last>
            <b:First>Paul</b:First>
            <b:Middle>M.</b:Middle>
          </b:Person>
        </b:NameList>
      </b:Author>
    </b:Author>
    <b:Title>Continuous Integration: Improving Software Quality and Reducing Risk</b:Title>
    <b:Year>2007</b:Year>
    <b:Publisher>Addison Wesley</b:Publisher>
    <b:RefOrder>8</b:RefOrder>
  </b:Source>
  <b:Source>
    <b:Tag>Ken02</b:Tag>
    <b:SourceType>Book</b:SourceType>
    <b:Guid>{0FC13DD9-6D1A-4DFE-AC1E-45476B40FFF9}</b:Guid>
    <b:Author>
      <b:Author>
        <b:NameList>
          <b:Person>
            <b:Last>Beck</b:Last>
            <b:First>Kent</b:First>
          </b:Person>
        </b:NameList>
      </b:Author>
    </b:Author>
    <b:Title>Test Driven Development: By Example</b:Title>
    <b:Year>2002</b:Year>
    <b:Publisher>Addison-Wesley Professional</b:Publisher>
    <b:RefOrder>9</b:RefOrder>
  </b:Source>
  <b:Source>
    <b:Tag>Mic</b:Tag>
    <b:SourceType>InternetSite</b:SourceType>
    <b:Guid>{801876A7-41CC-4201-9F45-EAE56E58C665}</b:Guid>
    <b:Title>TypeScript in Visual Studio Code</b:Title>
    <b:Author>
      <b:Author>
        <b:NameList>
          <b:Person>
            <b:Last>Microsoft</b:Last>
          </b:Person>
        </b:NameList>
      </b:Author>
    </b:Author>
    <b:URL>https://code.visualstudio.com/docs/languages/typescript</b:URL>
    <b:RefOrder>10</b:RefOrder>
  </b:Source>
  <b:Source>
    <b:Tag>Typ</b:Tag>
    <b:SourceType>InternetSite</b:SourceType>
    <b:Guid>{E221730D-0D90-42EB-B5CA-F41AF23B592A}</b:Guid>
    <b:Title>TypeScript in Visual Studio Code</b:Title>
    <b:URL>https://code.visualstudio.com/docs/languages/typescript</b:URL>
    <b:RefOrder>11</b:RefOrder>
  </b:Source>
  <b:Source>
    <b:Tag>Cap12</b:Tag>
    <b:SourceType>DocumentFromInternetSite</b:SourceType>
    <b:Guid>{92001195-9D5E-429B-927C-94658EF5FF79}</b:Guid>
    <b:InternetSiteTitle>SOFTWARE DEFECT ORIGINS AND REMOVAL METHODS</b:InternetSiteTitle>
    <b:Year>2012</b:Year>
    <b:URL>https://www.ifpug.org/Documents/Jones-SoftwareDefectOriginsAndRemovalMethodsDraft5.pdf</b:URL>
    <b:Author>
      <b:Author>
        <b:NameList>
          <b:Person>
            <b:Last>Jones</b:Last>
            <b:First>Capers</b:First>
          </b:Person>
        </b:NameList>
      </b:Author>
    </b:Author>
    <b:RefOrder>12</b:RefOrder>
  </b:Source>
  <b:Source>
    <b:Tag>Hum10</b:Tag>
    <b:SourceType>Book</b:SourceType>
    <b:Guid>{E4F6B7A4-91CF-4638-B01C-CA61EC99EB7D}</b:Guid>
    <b:Author>
      <b:Author>
        <b:NameList>
          <b:Person>
            <b:Last>Humble</b:Last>
            <b:First>Jez,</b:First>
            <b:Middle>and David Farley</b:Middle>
          </b:Person>
        </b:NameList>
      </b:Author>
    </b:Author>
    <b:Title>Continuous Delivery: Reliable Software Releases through Build, Test, and Deployment Automation</b:Title>
    <b:Year>2010</b:Year>
    <b:Publisher>Addison-Wesley</b:Publisher>
    <b:RefOrder>13</b:RefOrder>
  </b:Source>
  <b:Source>
    <b:Tag>Pre</b:Tag>
    <b:SourceType>InternetSite</b:SourceType>
    <b:Guid>{F4656904-4F80-4955-ACE4-9122B92C8895}</b:Guid>
    <b:Author>
      <b:Author>
        <b:NameList>
          <b:Person>
            <b:Last>Preston-Werner</b:Last>
            <b:First>Tom</b:First>
          </b:Person>
        </b:NameList>
      </b:Author>
    </b:Author>
    <b:InternetSiteTitle>Semantic Versioning 2.0.0</b:InternetSiteTitle>
    <b:URL>https://semver.org/</b:URL>
    <b:RefOrder>14</b:RefOrder>
  </b:Source>
</b:Sources>
</file>

<file path=customXml/itemProps1.xml><?xml version="1.0" encoding="utf-8"?>
<ds:datastoreItem xmlns:ds="http://schemas.openxmlformats.org/officeDocument/2006/customXml" ds:itemID="{8DDF1541-B75A-4EF9-80B2-82E3403F431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61327b7-bc8d-4171-a260-72d975658d33"/>
    <ds:schemaRef ds:uri="f183b691-3857-49fb-8a6b-de90e00c780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2378210-7508-44A5-9CE7-E1B05FBAAAC8}">
  <ds:schemaRefs>
    <ds:schemaRef ds:uri="http://schemas.microsoft.com/sharepoint/v3/contenttype/forms"/>
  </ds:schemaRefs>
</ds:datastoreItem>
</file>

<file path=customXml/itemProps3.xml><?xml version="1.0" encoding="utf-8"?>
<ds:datastoreItem xmlns:ds="http://schemas.openxmlformats.org/officeDocument/2006/customXml" ds:itemID="{DC66B021-5123-40D4-BDF2-4CC05715106E}">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6DA62E64-9CF5-4010-8E9D-06373E5CECED}">
  <ds:schemaRefs>
    <ds:schemaRef ds:uri="http://schemas.openxmlformats.org/officeDocument/2006/bibliography"/>
    <ds:schemaRef ds:uri="urn:schemas-microsoft-com:xslt"/>
  </ds:schemaRefs>
</ds:datastoreItem>
</file>

<file path=docProps/app.xml><?xml version="1.0" encoding="utf-8"?>
<Properties xmlns="http://schemas.openxmlformats.org/officeDocument/2006/extended-properties" xmlns:vt="http://schemas.openxmlformats.org/officeDocument/2006/docPropsVTypes">
  <Template>CODE Magazine Style Guide and Template 2014.docx</Template>
  <TotalTime>0</TotalTime>
  <Pages>5</Pages>
  <Words>705</Words>
  <Characters>4025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2019-03-09T05:45:00Z</dcterms:created>
  <dcterms:modified xsi:type="dcterms:W3CDTF">2019-03-09T05:45:00Z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0x010100A4D07DAEB0B2D845A42B262E083EDB6C</vt:lpwstr>
  </property>
</Properties>
</file>