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de0585f9ad94474404bde87cbe74eb55ae81e7"/>
    <w:p>
      <w:pPr>
        <w:pStyle w:val="Heading1"/>
      </w:pPr>
      <w:r>
        <w:t xml:space="preserve">Lab 3: Component Modelling &amp; Architectural Pattern Selection</w:t>
      </w:r>
    </w:p>
    <w:p>
      <w:pPr>
        <w:pStyle w:val="FirstParagraph"/>
      </w:pPr>
      <w:r>
        <w:t xml:space="preserve">Written Justification — Community Lost &amp; Found Matching Network (Problem Statement #59)</w:t>
      </w:r>
    </w:p>
    <w:bookmarkStart w:id="9" w:name="architecture-selection"/>
    <w:p>
      <w:pPr>
        <w:pStyle w:val="Heading2"/>
      </w:pPr>
      <w:r>
        <w:t xml:space="preserve">Architecture Selection</w:t>
      </w:r>
    </w:p>
    <w:p>
      <w:pPr>
        <w:pStyle w:val="FirstParagraph"/>
      </w:pPr>
      <w:r>
        <w:rPr>
          <w:b/>
          <w:bCs/>
        </w:rPr>
        <w:t xml:space="preserve">Microservices Architecture was chosen for the Community Lost &amp; Found Matching Network System.</w:t>
      </w:r>
    </w:p>
    <w:bookmarkEnd w:id="9"/>
    <w:bookmarkStart w:id="10" w:name="architectural-choice"/>
    <w:p>
      <w:pPr>
        <w:pStyle w:val="Heading2"/>
      </w:pPr>
      <w:r>
        <w:t xml:space="preserve">Architectural Choice</w:t>
      </w:r>
    </w:p>
    <w:p>
      <w:pPr>
        <w:pStyle w:val="FirstParagraph"/>
      </w:pPr>
      <w:r>
        <w:t xml:space="preserve">Microservices Architecture was selected, decomposed into independently deployable services:</w:t>
      </w:r>
      <w:r>
        <w:t xml:space="preserve"> </w:t>
      </w:r>
      <w:r>
        <w:rPr>
          <w:b/>
          <w:bCs/>
        </w:rPr>
        <w:t xml:space="preserve">Item Posting Service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Tag Extraction Service</w:t>
      </w:r>
      <w:r>
        <w:t xml:space="preserve"> </w:t>
      </w:r>
      <w:r>
        <w:t xml:space="preserve">(ingestion),</w:t>
      </w:r>
      <w:r>
        <w:t xml:space="preserve"> </w:t>
      </w:r>
      <w:r>
        <w:rPr>
          <w:b/>
          <w:bCs/>
        </w:rPr>
        <w:t xml:space="preserve">Matching Engine Service</w:t>
      </w:r>
      <w:r>
        <w:t xml:space="preserve">,</w:t>
      </w:r>
      <w:r>
        <w:t xml:space="preserve"> </w:t>
      </w:r>
      <w:r>
        <w:rPr>
          <w:b/>
          <w:bCs/>
        </w:rPr>
        <w:t xml:space="preserve">Claim Verification Service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Moderation Service</w:t>
      </w:r>
      <w:r>
        <w:t xml:space="preserve"> </w:t>
      </w:r>
      <w:r>
        <w:t xml:space="preserve">(business logic),</w:t>
      </w:r>
      <w:r>
        <w:t xml:space="preserve"> </w:t>
      </w:r>
      <w:r>
        <w:rPr>
          <w:b/>
          <w:bCs/>
        </w:rPr>
        <w:t xml:space="preserve">Notification Service</w:t>
      </w:r>
      <w:r>
        <w:t xml:space="preserve"> </w:t>
      </w:r>
      <w:r>
        <w:t xml:space="preserve">(cross-cutting), and a</w:t>
      </w:r>
      <w:r>
        <w:t xml:space="preserve"> </w:t>
      </w:r>
      <w:r>
        <w:rPr>
          <w:b/>
          <w:bCs/>
        </w:rPr>
        <w:t xml:space="preserve">Listing Database Service</w:t>
      </w:r>
      <w:r>
        <w:t xml:space="preserve"> </w:t>
      </w:r>
      <w:r>
        <w:t xml:space="preserve">that backs every other service. Services are made to communicate only through the labelled interfaces on the component diagram (e.g.</w:t>
      </w:r>
      <w:r>
        <w:t xml:space="preserve"> </w:t>
      </w:r>
      <w:r>
        <w:rPr>
          <w:i/>
          <w:iCs/>
        </w:rPr>
        <w:t xml:space="preserve">ExtractTags</w:t>
      </w:r>
      <w:r>
        <w:t xml:space="preserve">,</w:t>
      </w:r>
      <w:r>
        <w:t xml:space="preserve"> </w:t>
      </w:r>
      <w:r>
        <w:rPr>
          <w:i/>
          <w:iCs/>
        </w:rPr>
        <w:t xml:space="preserve">ListingQuery</w:t>
      </w:r>
      <w:r>
        <w:t xml:space="preserve">,</w:t>
      </w:r>
      <w:r>
        <w:t xml:space="preserve"> </w:t>
      </w:r>
      <w:r>
        <w:rPr>
          <w:i/>
          <w:iCs/>
        </w:rPr>
        <w:t xml:space="preserve">MatchAlert</w:t>
      </w:r>
      <w:r>
        <w:t xml:space="preserve">,</w:t>
      </w:r>
      <w:r>
        <w:t xml:space="preserve"> </w:t>
      </w:r>
      <w:r>
        <w:rPr>
          <w:i/>
          <w:iCs/>
        </w:rPr>
        <w:t xml:space="preserve">AnswerStore</w:t>
      </w:r>
      <w:r>
        <w:t xml:space="preserve">); another service's data is never reached into directly.</w:t>
      </w:r>
    </w:p>
    <w:bookmarkEnd w:id="10"/>
    <w:bookmarkStart w:id="11" w:name="two-reasons"/>
    <w:p>
      <w:pPr>
        <w:pStyle w:val="Heading2"/>
      </w:pPr>
      <w:r>
        <w:t xml:space="preserve">Two Reasons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Wildly uneven, independently scaled load.</w:t>
      </w:r>
      <w:r>
        <w:t xml:space="preserve"> </w:t>
      </w:r>
      <w:r>
        <w:t xml:space="preserve">Under NFR-002, the Matching Engine Service alone is required to sustain 500+ concurrent geo-proximity match requests within a 5-minute SLA, while Moderation and Notification are run at a far steadier, lower volume. If a Layered or Client-Server design were used, the whole application would be forced to be scaled as one unit; with microservices, only the Matching Engine (and, at upload time, the Tag Extraction Service, which is required to auto-tag photos within 10 seconds per FR-002) needs to be scaled out, without the rest of the system being over-provisioned.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Independently evolvable capabilities.</w:t>
      </w:r>
      <w:r>
        <w:t xml:space="preserve"> </w:t>
      </w:r>
      <w:r>
        <w:t xml:space="preserve">Tag extraction (vision/NLP), geo-matching, claim verification and admin moderation are functionally unrelated and are changed on different schedules — the matching algorithm may be retrained often, while moderation rules are changed rarely. With microservices, each capability can be built, deployed and rolled back on its own release cycle, and a failure in one (e.g. Tag Extraction) can be degraded gracefully instead of posting, matching or claims being taken down.</w:t>
      </w:r>
    </w:p>
    <w:bookmarkEnd w:id="11"/>
    <w:bookmarkStart w:id="12" w:name="security-advantage"/>
    <w:p>
      <w:pPr>
        <w:pStyle w:val="Heading2"/>
      </w:pPr>
      <w:r>
        <w:t xml:space="preserve">Security Advantage</w:t>
      </w:r>
    </w:p>
    <w:p>
      <w:pPr>
        <w:pStyle w:val="FirstParagraph"/>
      </w:pPr>
      <w:r>
        <w:t xml:space="preserve">By isolating the</w:t>
      </w:r>
      <w:r>
        <w:t xml:space="preserve"> </w:t>
      </w:r>
      <w:r>
        <w:rPr>
          <w:b/>
          <w:bCs/>
        </w:rPr>
        <w:t xml:space="preserve">Claim Verification Service</w:t>
      </w:r>
      <w:r>
        <w:t xml:space="preserve"> </w:t>
      </w:r>
      <w:r>
        <w:t xml:space="preserve">as its own service, reachable only through its narrow</w:t>
      </w:r>
      <w:r>
        <w:t xml:space="preserve"> </w:t>
      </w:r>
      <w:r>
        <w:rPr>
          <w:i/>
          <w:iCs/>
        </w:rPr>
        <w:t xml:space="preserve">SubmitClaim</w:t>
      </w:r>
      <w:r>
        <w:t xml:space="preserve">/</w:t>
      </w:r>
      <w:r>
        <w:rPr>
          <w:i/>
          <w:iCs/>
        </w:rPr>
        <w:t xml:space="preserve">AnswerStore</w:t>
      </w:r>
      <w:r>
        <w:t xml:space="preserve"> </w:t>
      </w:r>
      <w:r>
        <w:t xml:space="preserve">interfaces, NFR-001 and FR-003 are directly supported: proof-of-ownership answers and the logic that reveals contact details are never held inside, and are never made directly reachable from, the Item Posting, Tag Extraction or Moderation services. If a lower-trust, high-churn service such as Tag Extraction is compromised, stored answers cannot be reached and a contact-detail reveal cannot be triggered — that path is confined to one service with one well-defined boundary, and the attack surface for the platform's most sensitive data is shrunk.</w:t>
      </w:r>
    </w:p>
    <w:bookmarkEnd w:id="12"/>
    <w:bookmarkStart w:id="13" w:name="performance-benefit"/>
    <w:p>
      <w:pPr>
        <w:pStyle w:val="Heading2"/>
      </w:pPr>
      <w:r>
        <w:t xml:space="preserve">Performance Benefit</w:t>
      </w:r>
    </w:p>
    <w:p>
      <w:pPr>
        <w:pStyle w:val="FirstParagraph"/>
      </w:pPr>
      <w:r>
        <w:t xml:space="preserve">Because each service is deployed and scaled independently, the Matching Engine Service can be scaled out horizontally during posting-time traffic spikes so that the 95th-percentile match time is kept under 5 minutes at 500+ concurrent requests (NFR-002), without that extra capacity — or its cost — being forced onto the lighter-weight Notification or Moderation services. Through fault isolation, a match or a claim is never blocked from completing by a slow or failing Notification Service, so the core matching and claiming paths are kept responsive even when a downstream service is degraded.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2026-09-28T05:54:53Z</dcterms:created>
  <dcterms:modified xsi:type="dcterms:W3CDTF">2026-09-28T05:54:53Z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