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前端界面设计与交互规范</w:t>
      </w:r>
    </w:p>
    <w:p>
      <w:pPr>
        <w:pStyle w:val="Heading1"/>
      </w:pPr>
      <w:r>
        <w:t>一、设计原则</w:t>
      </w:r>
    </w:p>
    <w:p>
      <w:r>
        <w:rPr>
          <w:sz w:val="22"/>
        </w:rPr>
        <w:t>本规范适用于公司全部 B 端与 C 端产品界面。四条核心原则：一、一致性：同一概念在全产品使用同一术语与组件，禁止同义异形；二、效率优先：高频操作路径不超过三步，常用入口固定可见；三、信息降噪：单屏主色调区域不超过三处，次要操作默认收起；四、可恢复：任何破坏性操作提供撤销或二次确认。</w:t>
      </w:r>
    </w:p>
    <w:p>
      <w:pPr>
        <w:pStyle w:val="Heading1"/>
      </w:pPr>
      <w:r>
        <w:t>二、色彩体系</w:t>
      </w:r>
    </w:p>
    <w:p>
      <w:pPr>
        <w:pStyle w:val="Heading2"/>
      </w:pPr>
      <w:r>
        <w:t>2.1 品牌色板</w:t>
      </w:r>
    </w:p>
    <w:p>
      <w:r>
        <w:rPr>
          <w:sz w:val="22"/>
        </w:rPr>
        <w:t>主色为品牌蓝 #1E66F5，用于主按钮、链接与选中态；辅助色包括成功绿 #16A34A、警告橙 #EA8A00、错误红 #DC2626、信息蓝 #0284C7。中性色阶从 #0F172A（标题）到 #F8FAFC（页面背景）共十级。深浅两套主题共用同一色相，仅明度映射不同。</w:t>
      </w:r>
    </w:p>
    <w:p>
      <w:pPr>
        <w:pStyle w:val="Heading2"/>
      </w:pPr>
      <w:r>
        <w:t>2.2 使用规则</w:t>
      </w:r>
    </w:p>
    <w:p>
      <w:r>
        <w:rPr>
          <w:sz w:val="22"/>
        </w:rPr>
        <w:t>主按钮同一视图只出现一个；错误红仅用于校验失败与危险操作，禁止用于装饰；文本对比度不低于 4.5:1（大字号不低于 3:1）；数据可视化色板为十二色序列，分类色顺序不可随意调整，保证跨页面图表颜色语义一致。</w:t>
      </w:r>
    </w:p>
    <w:p>
      <w:pPr>
        <w:pStyle w:val="Heading1"/>
      </w:pPr>
      <w:r>
        <w:t>三、排版与间距</w:t>
      </w:r>
    </w:p>
    <w:p>
      <w:r>
        <w:rPr>
          <w:sz w:val="22"/>
        </w:rPr>
        <w:t>栅格：桌面端 12 栏，内容区最大宽度 1440px，左右留白 24px；间距体系为 4 的倍数（4/8/12/16/24/32/48），禁止出现 10、15 等非体系间距。字号体系：页面标题 20px、卡片标题 16px、正文 14px、辅助文字 12px、最小字号不低于 12px。行高正文 1.6、标题 1.3。中文字体优先级：PingFang SC、Microsoft YaHei、系统默认无衬线。</w:t>
      </w:r>
    </w:p>
    <w:p>
      <w:pPr>
        <w:pStyle w:val="Heading1"/>
      </w:pPr>
      <w:r>
        <w:t>四、组件规范</w:t>
      </w:r>
    </w:p>
    <w:p>
      <w:pPr>
        <w:pStyle w:val="Heading2"/>
      </w:pPr>
      <w:r>
        <w:t>4.1 按钮与表单</w:t>
      </w:r>
    </w:p>
    <w:p>
      <w:r>
        <w:rPr>
          <w:sz w:val="22"/>
        </w:rPr>
        <w:t>按钮高度统一 36px（紧凑场景 28px），圆角 6px；按钮状态必须包含默认、悬停、按下、加载、禁用五态。表单标签统一右对齐置于输入框上方；必填项用星号标注于标签左；校验错误显示在字段下方并同步红色描边；提交后服务端校验失败的滚动定位到第一个错误字段。</w:t>
      </w:r>
    </w:p>
    <w:p>
      <w:pPr>
        <w:pStyle w:val="Heading2"/>
      </w:pPr>
      <w:r>
        <w:t>4.2 反馈与加载</w:t>
      </w:r>
    </w:p>
    <w:p>
      <w:r>
        <w:rPr>
          <w:sz w:val="22"/>
        </w:rPr>
        <w:t>操作反馈三类：轻提示（Toast，两秒自动消失，不打断操作）、抽屉与弹窗（需要用户处理的事项，弹窗宽度统一 480px 或 720px 两档）、页面级结果页（任务完成或失败的终态）。接口耗时超过 800 毫秒必须出现加载态；超过 5 秒需提供进度或骨架屏。列表页加载失败保留已加载数据并顶部提示重试。</w:t>
      </w:r>
    </w:p>
    <w:p>
      <w:pPr>
        <w:pStyle w:val="Heading2"/>
      </w:pPr>
      <w:r>
        <w:t>4.3 数据表格</w:t>
      </w:r>
    </w:p>
    <w:p>
      <w:r>
        <w:rPr>
          <w:sz w:val="22"/>
        </w:rPr>
        <w:t>表格默认展示 6 至 8 列，其余收进列设置；行高 48px，密度模式可切换至 36px；长文本两行截断并悬停浮层展示全文；批量操作按钮在选择行数大于零时出现在表格左上角。分页默认每页 20 条，可选 10/20/50/100。</w:t>
      </w:r>
    </w:p>
    <w:p>
      <w:pPr>
        <w:pStyle w:val="Heading1"/>
      </w:pPr>
      <w:r>
        <w:t>五、交互反馈与动效</w:t>
      </w:r>
    </w:p>
    <w:p>
      <w:r>
        <w:rPr>
          <w:sz w:val="22"/>
        </w:rPr>
        <w:t>动效时长：微交互 120 至 200 毫秒，页面切换不超过 300 毫秒，超出视为卡顿。动效曲线统一使用 ease-out，禁止弹跳类曲线。用户主动触发展开收起时使用高度过渡；禁止在数据加载完成前使用空白闪跳。尊重系统「减少动态效果」设置，检测到该偏好时关闭非必要动效。</w:t>
      </w:r>
    </w:p>
    <w:p>
      <w:pPr>
        <w:pStyle w:val="Heading1"/>
      </w:pPr>
      <w:r>
        <w:t>六、无障碍与国际化</w:t>
      </w:r>
    </w:p>
    <w:p>
      <w:r>
        <w:rPr>
          <w:sz w:val="22"/>
        </w:rPr>
        <w:t>全部可交互元素可键盘触达，焦点可见；图标按钮必须提供 aria-label；表单错误同时使用颜色与文字提示，不单靠颜色传达状态；中文界面文案禁止中英混排的空格不一致问题（统一使用全角标点）。国际化预留文案外扩 30% 的空间余量，禁止绝对定位拼接文案。</w:t>
      </w:r>
    </w:p>
    <w:p>
      <w:pPr>
        <w:pStyle w:val="Heading1"/>
      </w:pPr>
      <w:r>
        <w:t>七、响应式断点</w:t>
      </w:r>
    </w:p>
    <w:p>
      <w:r>
        <w:rPr>
          <w:sz w:val="22"/>
        </w:rPr>
        <w:t>断点定义：移动端小于 768px、平板 768 至 1024px、桌面大于 1024px。移动端导航收起为底部标签栏，表格降级为卡片列表，复杂筛选器收进浮层。对话类页面在移动端固定输入框于软键盘之上。</w:t>
      </w:r>
    </w:p>
    <w:p>
      <w:pPr>
        <w:pStyle w:val="Heading1"/>
      </w:pPr>
      <w:r>
        <w:t>八、附则</w:t>
      </w:r>
    </w:p>
    <w:p>
      <w:r>
        <w:rPr>
          <w:sz w:val="22"/>
        </w:rPr>
        <w:t>本规范维护于设计资产库，版本 V2.4，更新日期 2026 年 5 月 28 日。新组件入库须附交互说明与多状态截图，由设计评审会通过后发布。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