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账号权限管理与审计规范</w:t>
      </w:r>
    </w:p>
    <w:p>
      <w:pPr>
        <w:pStyle w:val="Heading1"/>
      </w:pPr>
      <w:r>
        <w:t>一、总则</w:t>
      </w:r>
    </w:p>
    <w:p>
      <w:r>
        <w:rPr>
          <w:sz w:val="22"/>
        </w:rPr>
        <w:t>文档编号：SEC-ACC-2026-006。版本：V2.8。发布日期：2026 年 4 月 15 日。本规范适用于公司全部信息系统的账号、权限与操作审计管理，覆盖员工、外包人员与系统账号。</w:t>
      </w:r>
    </w:p>
    <w:p>
      <w:pPr>
        <w:pStyle w:val="Heading1"/>
      </w:pPr>
      <w:r>
        <w:t>二、账号生命周期</w:t>
      </w:r>
    </w:p>
    <w:p>
      <w:pPr>
        <w:pStyle w:val="Heading2"/>
      </w:pPr>
      <w:r>
        <w:t>2.1 创建</w:t>
      </w:r>
    </w:p>
    <w:p>
      <w:r>
        <w:rPr>
          <w:sz w:val="22"/>
        </w:rPr>
        <w:t>员工账号由 HR 入职流程自动触发创建，入职当日开通邮箱、OA 与统一认证账号；业务系统权限由部门负责人在入职工单中勾选角色模板。外包人员账号必须以 wb- 前缀命名并设置与合同一致的到期日，到期自动禁用。禁止共享账号与借用账号。</w:t>
      </w:r>
    </w:p>
    <w:p>
      <w:pPr>
        <w:pStyle w:val="Heading2"/>
      </w:pPr>
      <w:r>
        <w:t>2.2 变更</w:t>
      </w:r>
    </w:p>
    <w:p>
      <w:r>
        <w:rPr>
          <w:sz w:val="22"/>
        </w:rPr>
        <w:t>转岗员工的旧岗位权限在转岗生效日自动回收，新权限按新岗位角色模板重新申请；跨部门转岗需双方部门负责人确认。权限提升（如获得生产库写权限）须说明事由并经权限审批流（直属上级加系统负责人两级）批准。</w:t>
      </w:r>
    </w:p>
    <w:p>
      <w:pPr>
        <w:pStyle w:val="Heading2"/>
      </w:pPr>
      <w:r>
        <w:t>2.3 回收</w:t>
      </w:r>
    </w:p>
    <w:p>
      <w:r>
        <w:rPr>
          <w:sz w:val="22"/>
        </w:rPr>
        <w:t>离职当日十七点前完成全部系统账号禁用，门禁同步失效；核心系统（生产环境、数据库、代码仓库）账号在离职面谈完成前即可先行禁用。离职账号数据归档保留九十天后清理。连续六十天未登录的休眠账号自动禁用，恢复需重新申请。</w:t>
      </w:r>
    </w:p>
    <w:p>
      <w:pPr>
        <w:pStyle w:val="Heading1"/>
      </w:pPr>
      <w:r>
        <w:t>三、权限模型</w:t>
      </w:r>
    </w:p>
    <w:p>
      <w:r>
        <w:rPr>
          <w:sz w:val="22"/>
        </w:rPr>
        <w:t>系统统一采用基于角色的访问控制（RBAC）：权限授予角色，角色授予人。角色设计遵循最小权限原则，默认拒绝。每个系统须定义三类基础角色：只读（查询类岗位）、操作（日常业务处理）、管理（配置与授权）。高危权限（数据导出、批量删除、密钥管理）独立成角色，单独审批且默认有效期三十天，到期自动回收可续期。</w:t>
      </w:r>
    </w:p>
    <w:p>
      <w:pPr>
        <w:pStyle w:val="Heading2"/>
      </w:pPr>
      <w:r>
        <w:t>3.1 权限矩阵维护</w:t>
      </w:r>
    </w:p>
    <w:p>
      <w:r>
        <w:rPr>
          <w:sz w:val="22"/>
        </w:rPr>
        <w:t>各系统负责人维护《权限矩阵表》（角色、权限点、岗位映射），每季度评审一次。评审内容：角色与权限点是否仍必要、是否存在越权配置、高危权限持有人清单。评审结果报安全组备案。</w:t>
      </w:r>
    </w:p>
    <w:p>
      <w:pPr>
        <w:pStyle w:val="Heading1"/>
      </w:pPr>
      <w:r>
        <w:t>四、特权账号管理</w:t>
      </w:r>
    </w:p>
    <w:p>
      <w:r>
        <w:rPr>
          <w:sz w:val="22"/>
        </w:rPr>
        <w:t>root、数据库管理员、云平台主账号等特权账号纳入堡垒机统一纳管，禁止直连。特权操作必须双人复核（操作人加复核人在线确认）。生产环境例行维护使用临时授权：值班场景申请四小时临时特权窗口，到期自动降权。特权账号口令每季度轮换，轮换记录加密保存。break-glass 紧急口令密封保存在安全组双人保管的信封中，启用后二十四小时内必须轮换并复盘。</w:t>
      </w:r>
    </w:p>
    <w:p>
      <w:pPr>
        <w:pStyle w:val="Heading1"/>
      </w:pPr>
      <w:r>
        <w:t>五、认证与密码策略</w:t>
      </w:r>
    </w:p>
    <w:p>
      <w:r>
        <w:rPr>
          <w:sz w:val="22"/>
        </w:rPr>
        <w:t>统一认证支持密码加多因素认证（MFA），以下场景强制 MFA：特权账号、VPN 拨入、生产环境访问、财务与人力系统。密码规则：长度不少于十二位，包含大小写字母、数字与特殊字符，九十天强制更换，不得与最近五次历史密码重复。连续五次登录失败锁定账号三十分钟。禁止在代码、配置文件与即时通讯中明文存储任何口令，密钥统一使用密钥管理服务。</w:t>
      </w:r>
    </w:p>
    <w:p>
      <w:pPr>
        <w:pStyle w:val="Heading1"/>
      </w:pPr>
      <w:r>
        <w:t>六、操作审计</w:t>
      </w:r>
    </w:p>
    <w:p>
      <w:pPr>
        <w:pStyle w:val="Heading2"/>
      </w:pPr>
      <w:r>
        <w:t>6.1 审计范围</w:t>
      </w:r>
    </w:p>
    <w:p>
      <w:r>
        <w:rPr>
          <w:sz w:val="22"/>
        </w:rPr>
        <w:t>必须审计的操作：登录登出、权限变更、数据导出与批量删除、生产环境命令执行、配置修改、密钥使用。审计日志包含：时间、操作人、源地址、操作对象、动作、结果与请求标识。日志实时外发至独立审计平台，任何人（包括系统管理员）无权限删除或修改审计记录。</w:t>
      </w:r>
    </w:p>
    <w:p>
      <w:pPr>
        <w:pStyle w:val="Heading2"/>
      </w:pPr>
      <w:r>
        <w:t>6.2 日志留存与分析</w:t>
      </w:r>
    </w:p>
    <w:p>
      <w:r>
        <w:rPr>
          <w:sz w:val="22"/>
        </w:rPr>
        <w:t>审计日志在线保留一百八十天，冷存储保留两年，满足监管审计需要。安全组每周输出《高危操作周报》：非工作时间特权操作、异常批量导出、权限变更异常波动。发现可疑操作两个工作日内完成核查并反馈结论。</w:t>
      </w:r>
    </w:p>
    <w:p>
      <w:pPr>
        <w:pStyle w:val="Heading2"/>
      </w:pPr>
      <w:r>
        <w:t>6.3 定期审计检查</w:t>
      </w:r>
    </w:p>
    <w:p>
      <w:r>
        <w:rPr>
          <w:sz w:val="22"/>
        </w:rPr>
        <w:t>每季度开展权限合规审计：抽查百分之十在职员工权限与岗位匹配性、全量核对特权账号持有人、清点离职未禁用账号。审计发现的问题限期整改，整改率纳入部门安全考核。</w:t>
      </w:r>
    </w:p>
    <w:p>
      <w:pPr>
        <w:pStyle w:val="Heading1"/>
      </w:pPr>
      <w:r>
        <w:t>七、第三方与机器人账号</w:t>
      </w:r>
    </w:p>
    <w:p>
      <w:r>
        <w:rPr>
          <w:sz w:val="22"/>
        </w:rPr>
        <w:t>系统集成使用的 API 账号按系统命名（如 svc-rag-etl），权限限定到最小接口集合，凭证每半年轮换。自动化机器人账号禁止拥有交互式登录能力。第三方合作方访问一律通过临时账号加白名单 IP，合作结束后立即回收并出具访问记录。</w:t>
      </w:r>
    </w:p>
    <w:p>
      <w:pPr>
        <w:pStyle w:val="Heading1"/>
      </w:pPr>
      <w:r>
        <w:t>八、附则</w:t>
      </w:r>
    </w:p>
    <w:p>
      <w:r>
        <w:rPr>
          <w:sz w:val="22"/>
        </w:rPr>
        <w:t>本规范由安全组负责解释与修订，自 2026 年 4 月 15 日起施行，原 V2.5 版本同时废止。违反本规范造成安全事件的，按公司奖惩制度与《信息安全应急响应预案》相关条款处理。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