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资金支付与印章使用管理规范</w:t>
      </w:r>
    </w:p>
    <w:p>
      <w:pPr>
        <w:pStyle w:val="Heading1"/>
      </w:pPr>
      <w:r>
        <w:t>一、总则</w:t>
      </w:r>
    </w:p>
    <w:p>
      <w:r>
        <w:rPr>
          <w:sz w:val="22"/>
        </w:rPr>
        <w:t>文档编号：FIN-PAY-2026-006。版本：V3.6。发布日期：2026 年 5 月 20 日。本规范适用于公司全部对外资金支付与印章使用管理，目标是实现「无审批不付款、无审批不用印、全程可追溯」。收款方变更、印章外带等高风险事项按本规范从严管理。</w:t>
      </w:r>
    </w:p>
    <w:p>
      <w:pPr>
        <w:pStyle w:val="Heading1"/>
      </w:pPr>
      <w:r>
        <w:t>二、付款方式与审批权限</w:t>
      </w:r>
    </w:p>
    <w:p>
      <w:pPr>
        <w:pStyle w:val="Heading2"/>
      </w:pPr>
      <w:r>
        <w:t>2.1 付款渠道</w:t>
      </w:r>
    </w:p>
    <w:p>
      <w:r>
        <w:rPr>
          <w:sz w:val="22"/>
        </w:rPr>
        <w:t>对外付款统一通过企业网银完成，付款账户限于财务部备案的基本户与一般户。现金付款仅限 1000 元以下的零星支出；禁止使用个人账户代收代付公司款项，禁止开具空白支票。</w:t>
      </w:r>
    </w:p>
    <w:p>
      <w:pPr>
        <w:pStyle w:val="Heading2"/>
      </w:pPr>
      <w:r>
        <w:t>2.2 分级审批权限</w:t>
      </w:r>
    </w:p>
    <w:p>
      <w:r>
        <w:rPr>
          <w:sz w:val="22"/>
        </w:rPr>
        <w:t>单笔 5 万元以下：财务会计审核，财务负责人审批。单笔 5 万元至 50 万元：加签分管副总。单笔 50 万元至 200 万元：加签总经理。单笔 200 万元以上：总经理办公会集体决策并形成纪要。同一事项拆分付款以合计金额确定审批层级，规避审批的行为按重大违规处理。</w:t>
      </w:r>
    </w:p>
    <w:p>
      <w:pPr>
        <w:pStyle w:val="Heading1"/>
      </w:pPr>
      <w:r>
        <w:t>三、付款流程</w:t>
      </w:r>
    </w:p>
    <w:p>
      <w:pPr>
        <w:pStyle w:val="Heading2"/>
      </w:pPr>
      <w:r>
        <w:t>3.1 付款申请</w:t>
      </w:r>
    </w:p>
    <w:p>
      <w:r>
        <w:rPr>
          <w:sz w:val="22"/>
        </w:rPr>
        <w:t>经办人在 OA「付款申请」模块提交，必附：合同（或费用报销单）、发票、验收凭证、审批记录。预付款项须附履约担保或合同约定条款。财务会计对票据与合同的「三单匹配」（合同、发票、验收单）负责。</w:t>
      </w:r>
    </w:p>
    <w:p>
      <w:pPr>
        <w:pStyle w:val="Heading2"/>
      </w:pPr>
      <w:r>
        <w:t>3.2 收款方信息管理</w:t>
      </w:r>
    </w:p>
    <w:p>
      <w:r>
        <w:rPr>
          <w:sz w:val="22"/>
        </w:rPr>
        <w:t>收款账户必须与合同签约主体一致。收款方或收款账户变更的，须取得对方加盖公章的变更函原件并电话回访确认，财务负责人复核后方可执行；该类付款一律延后两个工作日支付以防欺诈。</w:t>
      </w:r>
    </w:p>
    <w:p>
      <w:pPr>
        <w:pStyle w:val="Heading2"/>
      </w:pPr>
      <w:r>
        <w:t>3.3 支付执行与对账</w:t>
      </w:r>
    </w:p>
    <w:p>
      <w:r>
        <w:rPr>
          <w:sz w:val="22"/>
        </w:rPr>
        <w:t>网银付款执行「经办、复核、授权」三人分离：出纳制单、会计复核、财务负责人（或授权人）在授权额度内放款。每日日终出纳编制《资金日报》，会计每周核对银行流水与账面，月度银行余额调节表由财务负责人签字归档。未达账项超过 30 天必须查明原因。</w:t>
      </w:r>
    </w:p>
    <w:p>
      <w:pPr>
        <w:pStyle w:val="Heading1"/>
      </w:pPr>
      <w:r>
        <w:t>四、印章分类与保管</w:t>
      </w:r>
    </w:p>
    <w:p>
      <w:pPr>
        <w:pStyle w:val="Heading2"/>
      </w:pPr>
      <w:r>
        <w:t>4.1 印章清单</w:t>
      </w:r>
    </w:p>
    <w:p>
      <w:r>
        <w:rPr>
          <w:sz w:val="22"/>
        </w:rPr>
        <w:t>公司印章共五类：公章、合同专用章、财务专用章、法定代表人名章、发票专用章。公章与合同专用章由行政部保管，财务专用章与发票专用章由财务部保管，法定代表人名章由财务负责人指定专人保管。五类印章保管人不得相互兼任，严禁一人保管两枚以上印章。</w:t>
      </w:r>
    </w:p>
    <w:p>
      <w:pPr>
        <w:pStyle w:val="Heading2"/>
      </w:pPr>
      <w:r>
        <w:t>4.2 保管要求</w:t>
      </w:r>
    </w:p>
    <w:p>
      <w:r>
        <w:rPr>
          <w:sz w:val="22"/>
        </w:rPr>
        <w:t>印章存放于双人双锁保险柜，保管人休假须办理书面交接。印章保管人每季度盘点一次并向部门负责人书面报告。印章遗失的，立即报告总经理、登报声明作废并向公安机关备案，24 小时内启动补刻程序。</w:t>
      </w:r>
    </w:p>
    <w:p>
      <w:pPr>
        <w:pStyle w:val="Heading1"/>
      </w:pPr>
      <w:r>
        <w:t>五、用印审批流程</w:t>
      </w:r>
    </w:p>
    <w:p>
      <w:pPr>
        <w:pStyle w:val="Heading2"/>
      </w:pPr>
      <w:r>
        <w:t>5.1 申请与审批</w:t>
      </w:r>
    </w:p>
    <w:p>
      <w:r>
        <w:rPr>
          <w:sz w:val="22"/>
        </w:rPr>
        <w:t>用印统一在 OA「用印申请」模块发起，注明用印文件名称、份数、用途与留存方式。合同用印须关联合同审批单编号；财务报表、审计报告用印须财务负责人审批；对外承诺、担保、授权类文件用印一律由总经理审批。紧急用印可电话请示后先行用印，次日内补齐线上流程。</w:t>
      </w:r>
    </w:p>
    <w:p>
      <w:pPr>
        <w:pStyle w:val="Heading2"/>
      </w:pPr>
      <w:r>
        <w:t>5.2 用印执行</w:t>
      </w:r>
    </w:p>
    <w:p>
      <w:r>
        <w:rPr>
          <w:sz w:val="22"/>
        </w:rPr>
        <w:t>保管人核对审批单与文件一致性后当面用印，禁止将印章交由申请人自助使用。用印登记簿逐次记录：日期、文件名称、份数、申请人、审批单号。用印文件留存复印件或扫描件归档。印章外带须总经理批准，由两名工作人员同行，当日归还并登记。</w:t>
      </w:r>
    </w:p>
    <w:p>
      <w:pPr>
        <w:pStyle w:val="Heading1"/>
      </w:pPr>
      <w:r>
        <w:t>六、风险控制与监督检查</w:t>
      </w:r>
    </w:p>
    <w:p>
      <w:pPr>
        <w:pStyle w:val="Heading2"/>
      </w:pPr>
      <w:r>
        <w:t>6.1 高风险场景控制</w:t>
      </w:r>
    </w:p>
    <w:p>
      <w:r>
        <w:rPr>
          <w:sz w:val="22"/>
        </w:rPr>
        <w:t>以下场景执行强化控制：收款方变更（回访确认加延迟支付）；预付款超合同金额 30%（加履约担保）；周末与节假日大额付款（原则上不办理，紧急情况须总经理电话确认并录音）；电子印章调用（限定 IP 与白名单文件类型，调用日志保存三年）。</w:t>
      </w:r>
    </w:p>
    <w:p>
      <w:pPr>
        <w:pStyle w:val="Heading2"/>
      </w:pPr>
      <w:r>
        <w:t>6.2 定期检查</w:t>
      </w:r>
    </w:p>
    <w:p>
      <w:r>
        <w:rPr>
          <w:sz w:val="22"/>
        </w:rPr>
        <w:t>财务部每季度开展资金安全自查：审批完整性抽查不低于 30 笔、印章登记簿核对、网银权限复核。内审每年对资金支付与印章管理开展一次专项审计，审计发现的问题限期 15 个工作日整改，整改率纳入财务部考核。</w:t>
      </w:r>
    </w:p>
    <w:p>
      <w:pPr>
        <w:pStyle w:val="Heading1"/>
      </w:pPr>
      <w:r>
        <w:t>七、附则</w:t>
      </w:r>
    </w:p>
    <w:p>
      <w:r>
        <w:rPr>
          <w:sz w:val="22"/>
        </w:rPr>
        <w:t>本规范由财务部与行政部共同负责解释，自 2026 年 5 月 20 日起施行，原 V3.2 版本同时废止。违反本规范造成资金损失的，按公司奖惩制度追责，涉嫌违法的移送司法机关。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