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Cobalt Instrument Studio</w:t>
      </w:r>
    </w:p>
    <w:p>
      <w:pPr>
        <w:pStyle w:val="Subtitle"/>
      </w:pPr>
      <w:r>
        <w:t>Engineering Report on Local Hardening</w:t>
      </w:r>
    </w:p>
    <w:p>
      <w:pPr>
        <w:spacing w:after="120"/>
      </w:pPr>
      <w:r>
        <w:rPr>
          <w:color w:val="50617A"/>
          <w:sz w:val="20"/>
        </w:rPr>
        <w:t>Developed by Daren Diaz</w:t>
      </w:r>
      <w:r>
        <w:rPr>
          <w:sz w:val="20"/>
        </w:rPr>
        <w:t xml:space="preserve"> | </w:t>
      </w:r>
      <w:hyperlink r:id="rId10">
        <w:r>
          <w:rPr>
            <w:color w:val="175CD3"/>
            <w:sz w:val="20"/>
            <w:u w:val="single"/>
          </w:rPr>
          <w:t>GitHub</w:t>
        </w:r>
      </w:hyperlink>
    </w:p>
    <w:p>
      <w:r>
        <w:t>Version 0.1.0  |  Fall 2026</w:t>
      </w:r>
    </w:p>
    <w:p>
      <w:pPr>
        <w:pStyle w:val="Heading1"/>
        <w:pageBreakBefore w:val="0"/>
      </w:pPr>
      <w:r>
        <w:t>Purpose and local revision</w:t>
      </w:r>
    </w:p>
    <w:p>
      <w:r>
        <w:t>Cobalt Instrument Studio is an original static React and TypeScript instrumentation simulator. One seeded model drives accepted telemetry, instruments, trends, and diagnostics. This local hardening revision adds a versioned acceptance boundary, two fault replays, and a display configuration workspace while preserving the existing engine and visual identity.</w:t>
      </w:r>
    </w:p>
    <w:p>
      <w:r>
        <w:t>Six instruments, four modes, and five guided replays make process faults and rejected delivery inspectable. Device bindings and display properties change presentation only. Local validation results are reported separately from the historical public version. This revision is unreleased; no push, deployment, release, or external service modification is part of the sprint.</w:t>
      </w:r>
    </w:p>
    <w:p>
      <w:pPr>
        <w:jc w:val="center"/>
      </w:pPr>
      <w:r>
        <w:drawing>
          <wp:inline xmlns:a="http://schemas.openxmlformats.org/drawingml/2006/main" xmlns:pic="http://schemas.openxmlformats.org/drawingml/2006/picture">
            <wp:extent cx="3762102" cy="2743200"/>
            <wp:docPr id="1" name="Picture 1" descr="Actual local dashboard capture. All instrument values are simulated; the screenshot shows the implemented browser interface."/>
            <wp:cNvGraphicFramePr>
              <a:graphicFrameLocks noChangeAspect="1"/>
            </wp:cNvGraphicFramePr>
            <a:graphic>
              <a:graphicData uri="http://schemas.openxmlformats.org/drawingml/2006/picture">
                <pic:pic>
                  <pic:nvPicPr>
                    <pic:cNvPr id="0" name="dashboard-overview.png"/>
                    <pic:cNvPicPr/>
                  </pic:nvPicPr>
                  <pic:blipFill>
                    <a:blip r:embed="rId11"/>
                    <a:stretch>
                      <a:fillRect/>
                    </a:stretch>
                  </pic:blipFill>
                  <pic:spPr>
                    <a:xfrm>
                      <a:off x="0" y="0"/>
                      <a:ext cx="3762102" cy="2743200"/>
                    </a:xfrm>
                    <a:prstGeom prst="rect"/>
                  </pic:spPr>
                </pic:pic>
              </a:graphicData>
            </a:graphic>
          </wp:inline>
        </w:drawing>
      </w:r>
    </w:p>
    <w:p>
      <w:pPr>
        <w:pStyle w:val="Caption"/>
      </w:pPr>
      <w:r>
        <w:t>Actual local dashboard capture. All instrument values are simulated; the screenshot shows the implemented browser interface.</w:t>
      </w:r>
    </w:p>
    <w:p>
      <w:pPr>
        <w:pStyle w:val="Heading2"/>
      </w:pPr>
      <w:r>
        <w:t>Simulation scope</w:t>
      </w:r>
    </w:p>
    <w:p>
      <w:r>
        <w:t>SIMULATED - NOT LIVE EQUIPMENT. Every value is generated locally. There is no backend, authentication, equipment connection, hardware control, certification, or production guarantee. Demonstration relationships and plausibility ranges are not calibrated equipment measurements or safe operating limits.</w:t>
      </w:r>
    </w:p>
    <w:p>
      <w:pPr>
        <w:pStyle w:val="Heading1"/>
        <w:pageBreakBefore/>
      </w:pPr>
      <w:r>
        <w:t>Architecture and state ownership</w:t>
      </w:r>
    </w:p>
    <w:p>
      <w:r>
        <w:t>One typed reducer owns the simulation session. Commands advance a fixed-step seeded engine; simulated transport then supplies an unknown sample envelope to validation. Only accepted canonical telemetry reaches shared readings, metric rules, history, gauges, and the device preview. Rejected deliveries leave that accepted state intact while time and freshness age continue advancing.</w:t>
      </w:r>
    </w:p>
    <w:p>
      <w:pPr>
        <w:jc w:val="center"/>
      </w:pPr>
      <w:r>
        <w:drawing>
          <wp:inline xmlns:a="http://schemas.openxmlformats.org/drawingml/2006/main" xmlns:pic="http://schemas.openxmlformats.org/drawingml/2006/picture">
            <wp:extent cx="6126480" cy="1766468"/>
            <wp:docPr id="2" name="Picture 2" descr="The acceptance boundary separates generated process values from accepted display and diagnostic data."/>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126480" cy="1766468"/>
                    </a:xfrm>
                    <a:prstGeom prst="rect"/>
                  </pic:spPr>
                </pic:pic>
              </a:graphicData>
            </a:graphic>
          </wp:inline>
        </w:drawing>
      </w:r>
    </w:p>
    <w:p>
      <w:pPr>
        <w:pStyle w:val="Caption"/>
      </w:pPr>
      <w:r>
        <w:t>The acceptance boundary separates generated process values from accepted display and diagnostic data.</w:t>
      </w:r>
    </w:p>
    <w:tbl>
      <w:tblPr>
        <w:tblW w:type="auto" w:w="0"/>
        <w:jc w:val="center"/>
        <w:tblLayout w:type="fixed"/>
        <w:tblLook w:firstColumn="1" w:firstRow="1" w:lastColumn="0" w:lastRow="0" w:noHBand="0" w:noVBand="1" w:val="04A0"/>
      </w:tblPr>
      <w:tblGrid>
        <w:gridCol w:w="1872"/>
        <w:gridCol w:w="3744"/>
        <w:gridCol w:w="4032"/>
      </w:tblGrid>
      <w:tr>
        <w:trPr>
          <w:cantSplit/>
          <w:tblHeader/>
        </w:trPr>
        <w:tc>
          <w:tcPr>
            <w:tcW w:type="dxa" w:w="187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Component</w:t>
            </w:r>
          </w:p>
        </w:tc>
        <w:tc>
          <w:tcPr>
            <w:tcW w:type="dxa" w:w="374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Local capability</w:t>
            </w:r>
          </w:p>
        </w:tc>
        <w:tc>
          <w:tcPr>
            <w:tcW w:type="dxa" w:w="403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Engineering value</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Engine and scenarios</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One seed, six coupled channels, fixed 0.5 s step, five replays</w:t>
            </w:r>
          </w:p>
        </w:tc>
        <w:tc>
          <w:tcPr>
            <w:tcW w:type="dxa" w:w="403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Reproducible process and delivery fault paths</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Telemetry contract</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Version, fields, numeric bounds, and timestamp ordering</w:t>
            </w:r>
          </w:p>
        </w:tc>
        <w:tc>
          <w:tcPr>
            <w:tcW w:type="dxa" w:w="403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Rejected values cannot contaminate accepted state</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Diagnostics</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Thresholds, hysteresis, debounce, timeout, acknowledgment</w:t>
            </w:r>
          </w:p>
        </w:tc>
        <w:tc>
          <w:tcPr>
            <w:tcW w:type="dxa" w:w="403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Explained condition onset, escalation, and recovery</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History and events</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240 accepted samples and 100 event records</w:t>
            </w:r>
          </w:p>
        </w:tc>
        <w:tc>
          <w:tcPr>
            <w:tcW w:type="dxa" w:w="403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Deliberate retention and counted/deduplicated evidence</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Device workspace</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Six signal bindings, labels, display ranges, preview</w:t>
            </w:r>
          </w:p>
        </w:tc>
        <w:tc>
          <w:tcPr>
            <w:tcW w:type="dxa" w:w="403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Presentation can change independently of process rules</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Settings and export</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local preferences and simulated CSV</w:t>
            </w:r>
          </w:p>
        </w:tc>
        <w:tc>
          <w:tcPr>
            <w:tcW w:type="dxa" w:w="403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Inspectable configuration and portable session evidence</w:t>
            </w:r>
          </w:p>
        </w:tc>
      </w:tr>
    </w:tbl>
    <w:p>
      <w:pPr>
        <w:spacing w:after="40"/>
      </w:pPr>
    </w:p>
    <w:p>
      <w:r>
        <w:t>Pure modules under src/engine define model, validation, rules, and display layout. Browser LocalStorage holds validated application preferences; telemetry, events, and device layout stay in session memory. Operation requires no server API, device runtime, or remote data source.</w:t>
      </w:r>
    </w:p>
    <w:p>
      <w:pPr>
        <w:pStyle w:val="Heading1"/>
        <w:pageBreakBefore/>
      </w:pPr>
      <w:r>
        <w:t>Versioned telemetry contract</w:t>
      </w:r>
    </w:p>
    <w:p>
      <w:r>
        <w:t>The flat version 1 envelope requires contractVersion, time, rpm, oilPressure, coolantTemp, batteryVoltage, fuelLevel, and engineLoad as own properties. Version must be numeric 1. Channel/time values must be finite numbers; no string coercion is performed. Additional fields are ignored and are never copied into accepted telemetry.</w:t>
      </w:r>
    </w:p>
    <w:tbl>
      <w:tblPr>
        <w:tblW w:type="auto" w:w="0"/>
        <w:jc w:val="center"/>
        <w:tblLayout w:type="fixed"/>
        <w:tblLook w:firstColumn="1" w:firstRow="1" w:lastColumn="0" w:lastRow="0" w:noHBand="0" w:noVBand="1" w:val="04A0"/>
      </w:tblPr>
      <w:tblGrid>
        <w:gridCol w:w="2160"/>
        <w:gridCol w:w="2160"/>
        <w:gridCol w:w="5328"/>
      </w:tblGrid>
      <w:tr>
        <w:trPr>
          <w:cantSplit/>
          <w:tblHeader/>
        </w:trPr>
        <w:tc>
          <w:tcPr>
            <w:tcW w:type="dxa" w:w="216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Field</w:t>
            </w:r>
          </w:p>
        </w:tc>
        <w:tc>
          <w:tcPr>
            <w:tcW w:type="dxa" w:w="216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Canonical unit</w:t>
            </w:r>
          </w:p>
        </w:tc>
        <w:tc>
          <w:tcPr>
            <w:tcW w:type="dxa" w:w="532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Inclusive plausibility bounds</w:t>
            </w:r>
          </w:p>
        </w:tc>
      </w:tr>
      <w:tr>
        <w:trPr>
          <w:cantSplit/>
        </w:trPr>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time</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Simulation seconds</w:t>
            </w:r>
          </w:p>
        </w:tc>
        <w:tc>
          <w:tcPr>
            <w:tcW w:type="dxa" w:w="53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At least 0; no future time; strictly newer than last accepted sample</w:t>
            </w:r>
          </w:p>
        </w:tc>
      </w:tr>
      <w:tr>
        <w:trPr>
          <w:cantSplit/>
        </w:trPr>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rpm</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rpm</w:t>
            </w:r>
          </w:p>
        </w:tc>
        <w:tc>
          <w:tcPr>
            <w:tcW w:type="dxa" w:w="53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6000</w:t>
            </w:r>
          </w:p>
        </w:tc>
      </w:tr>
      <w:tr>
        <w:trPr>
          <w:cantSplit/>
        </w:trPr>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oilPressure</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psi</w:t>
            </w:r>
          </w:p>
        </w:tc>
        <w:tc>
          <w:tcPr>
            <w:tcW w:type="dxa" w:w="53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150</w:t>
            </w:r>
          </w:p>
        </w:tc>
      </w:tr>
      <w:tr>
        <w:trPr>
          <w:cantSplit/>
        </w:trPr>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coolantTemp</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Degrees F</w:t>
            </w:r>
          </w:p>
        </w:tc>
        <w:tc>
          <w:tcPr>
            <w:tcW w:type="dxa" w:w="53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-40 to 320</w:t>
            </w:r>
          </w:p>
        </w:tc>
      </w:tr>
      <w:tr>
        <w:trPr>
          <w:cantSplit/>
        </w:trPr>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batteryVoltage</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w:t>
            </w:r>
          </w:p>
        </w:tc>
        <w:tc>
          <w:tcPr>
            <w:tcW w:type="dxa" w:w="53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32</w:t>
            </w:r>
          </w:p>
        </w:tc>
      </w:tr>
      <w:tr>
        <w:trPr>
          <w:cantSplit/>
        </w:trPr>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fuelLevel</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Percent</w:t>
            </w:r>
          </w:p>
        </w:tc>
        <w:tc>
          <w:tcPr>
            <w:tcW w:type="dxa" w:w="53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100</w:t>
            </w:r>
          </w:p>
        </w:tc>
      </w:tr>
      <w:tr>
        <w:trPr>
          <w:cantSplit/>
        </w:trPr>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engineLoad</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Percent</w:t>
            </w:r>
          </w:p>
        </w:tc>
        <w:tc>
          <w:tcPr>
            <w:tcW w:type="dxa" w:w="53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100</w:t>
            </w:r>
          </w:p>
        </w:tc>
      </w:tr>
    </w:tbl>
    <w:p>
      <w:pPr>
        <w:spacing w:after="40"/>
      </w:pPr>
    </w:p>
    <w:p>
      <w:pPr>
        <w:pStyle w:val="Heading2"/>
      </w:pPr>
      <w:r>
        <w:t>Rejected delivery and freshness</w:t>
      </w:r>
    </w:p>
    <w:p>
      <w:r>
        <w:t>Malformed envelopes, unsupported versions, missing fields, wrong types, nonfinite/out-of-bounds values, negative/future time, duplicate timestamps, and out-of-order timestamps each produce an explicit rejection reason. A rejected attempt does not replace readings, update accepted time, append history, or count toward metric debounce. Age is measured from the last accepted timestamp.</w:t>
      </w:r>
    </w:p>
    <w:p>
      <w:r>
        <w:t>Each rejection code is logged once per continuous rejection episode; repeats increase a counter without repeated messages. An accepted delivery records one recovery and resets the episode. A sustained invalid episode can therefore produce both sample-quality evidence and the normal communication timeout. Events remain capped at 100.</w:t>
      </w:r>
    </w:p>
    <w:p>
      <w:pPr>
        <w:pStyle w:val="Heading2"/>
      </w:pPr>
      <w:r>
        <w:t>Distinct bounds and clocks</w:t>
      </w:r>
    </w:p>
    <w:p>
      <w:r>
        <w:t>These are demonstration plausibility limits, broader than the generator and display ranges. A narrowed preview scale preserves the numeric reading and clamps its needle. The 500 ms timer is a scheduling target, not a real-time guarantee. Pause freezes simulation time and age; reset/replay establishes a fresh ordering baseline. See docs/TELEMETRY_CONTRACT.md for the complete acceptance policy.</w:t>
      </w:r>
    </w:p>
    <w:p>
      <w:pPr>
        <w:pStyle w:val="Heading1"/>
        <w:pageBreakBefore/>
      </w:pPr>
      <w:r>
        <w:t>Reproducible process behavior</w:t>
      </w:r>
    </w:p>
    <w:p>
      <w:pPr>
        <w:pStyle w:val="Heading2"/>
      </w:pPr>
      <w:r>
        <w:t>Normal operating ramp</w:t>
      </w:r>
    </w:p>
    <w:p>
      <w:r>
        <w:t>Expected: increase idle speed and load smoothly while pressure follows and temperature responds slowly. Observed seed 27041 at 35 simulated seconds: 1749.8 rpm, 51.8 percent load, 57.1 psi oil pressure, and 182.7 degrees F coolant. Default rules remained normal. Replay resets accepted data, ordering, history, and diagnostics while retaining valid application preferences.</w:t>
      </w:r>
    </w:p>
    <w:p>
      <w:pPr>
        <w:pStyle w:val="Heading2"/>
      </w:pPr>
      <w:r>
        <w:t>Coolant overheat</w:t>
      </w:r>
    </w:p>
    <w:p>
      <w:r>
        <w:t>Expected: cooling degradation starts at 6 s and crosses warning and critical. The retained seed/default policy reaches warning at 14.0 s (223.5 degrees F) and critical at 18.5 s (236.8 degrees F). Thresholds are 220/235 degrees F, with 4 degrees F hysteresis and two accepted samples of debounce. Escalation renews acknowledgment; reset creates a normal session.</w:t>
      </w:r>
    </w:p>
    <w:p>
      <w:pPr>
        <w:pStyle w:val="Heading2"/>
      </w:pPr>
      <w:r>
        <w:t>Oil pressure loss and recovery</w:t>
      </w:r>
    </w:p>
    <w:p>
      <w:r>
        <w:t>Expected: lower generated pressure from 5 s, cross 24 psi warning and 16 psi critical, then restore generation at 24 s. Observed warning was 11.5 s/22.199 psi; critical 15.5 s/14.726 psi; recovery through warning 26.0 s/23.410 psi; normal 27.5 s/30.110 psi. The 3 psi recovery margin and two accepted samples govern clearing. Its 42 s replay accepted 85 samples with no rejection; browser checks exercise acknowledgment and renewed acknowledgment after escalation.</w:t>
      </w:r>
    </w:p>
    <w:tbl>
      <w:tblPr>
        <w:tblW w:type="auto" w:w="0"/>
        <w:jc w:val="center"/>
        <w:tblLayout w:type="fixed"/>
        <w:tblLook w:firstColumn="1" w:firstRow="1" w:lastColumn="0" w:lastRow="0" w:noHBand="0" w:noVBand="1" w:val="04A0"/>
      </w:tblPr>
      <w:tblGrid>
        <w:gridCol w:w="2880"/>
        <w:gridCol w:w="6768"/>
      </w:tblGrid>
      <w:tr>
        <w:trPr>
          <w:cantSplit/>
          <w:tblHeader/>
        </w:trPr>
        <w:tc>
          <w:tcPr>
            <w:tcW w:type="dxa" w:w="288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Rule behavior</w:t>
            </w:r>
          </w:p>
        </w:tc>
        <w:tc>
          <w:tcPr>
            <w:tcW w:type="dxa" w:w="676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Engineering meaning</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 process fault</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Low pressure and high coolant are valid samples; diagnostics must detect them rather than reject their delivery.</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Acknowledgment</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Records review, leaves an active condition intact, and resets after escalation or recovery.</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Hysteresis/debounce</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Separate recovery limits and consecutive accepted samples limit threshold chatter.</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Seeded replay</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Fixed simulation steps reproduce identical accepted readings and transition sequences.</w:t>
            </w:r>
          </w:p>
        </w:tc>
      </w:tr>
    </w:tbl>
    <w:p>
      <w:pPr>
        <w:spacing w:after="40"/>
      </w:pPr>
    </w:p>
    <w:p>
      <w:r>
        <w:t>All times describe the simulator. Thermal and pressure fault kinetics are accelerated explanatory assumptions, not real machinery response or field calibration.</w:t>
      </w:r>
    </w:p>
    <w:p>
      <w:pPr>
        <w:pStyle w:val="Heading1"/>
        <w:pageBreakBefore/>
      </w:pPr>
      <w:r>
        <w:t>Sample delivery faults and recovery</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Scenario</w:t>
            </w:r>
          </w:p>
        </w:tc>
        <w:tc>
          <w:tcPr>
            <w:tcW w:type="dxa" w:w="734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Expected accepted-state behavior</w:t>
            </w:r>
          </w:p>
        </w:tc>
      </w:tr>
      <w:tr>
        <w:trPr>
          <w:cantSplit/>
        </w:trPr>
        <w:tc>
          <w:tcPr>
            <w:tcW w:type="dxa" w:w="230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Communication loss</w:t>
            </w:r>
          </w:p>
        </w:tc>
        <w:tc>
          <w:tcPr>
            <w:tcW w:type="dxa" w:w="73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No delivery from 5 s through 16.5 s. Retain the 4.5 s sample; default timeout begins at 6.5 s. Valid delivery resumes at 17 s.</w:t>
            </w:r>
          </w:p>
        </w:tc>
      </w:tr>
      <w:tr>
        <w:trPr>
          <w:cantSplit/>
        </w:trPr>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Invalid sample delivery</w:t>
            </w:r>
          </w:p>
        </w:tc>
        <w:tc>
          <w:tcPr>
            <w:tcW w:type="dxa" w:w="73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Reject nonfinite, missing/wrong-type, duplicate, and out-of-order attempts from 5 s through 16.5 s. Retain accepted values/history; timeout and recovery follow accepted time.</w:t>
            </w:r>
          </w:p>
        </w:tc>
      </w:tr>
    </w:tbl>
    <w:p>
      <w:pPr>
        <w:spacing w:after="40"/>
      </w:pPr>
    </w:p>
    <w:p>
      <w:r>
        <w:t>Both scenarios distinguish the internal generated model from accepted readings. A missing or rejected sample cannot hide age by replacing receivedAt. The trend leaves a gap over missing accepted measurements. A valid sample at 17 s restores freshness and communication normal state; invalid-delivery recovery also closes the rejection episode.</w:t>
      </w:r>
    </w:p>
    <w:p>
      <w:pPr>
        <w:jc w:val="center"/>
      </w:pPr>
      <w:r>
        <w:drawing>
          <wp:inline xmlns:a="http://schemas.openxmlformats.org/drawingml/2006/main" xmlns:pic="http://schemas.openxmlformats.org/drawingml/2006/picture">
            <wp:extent cx="6126480" cy="1229535"/>
            <wp:docPr id="3" name="Picture 3" descr="Actual local browser capture of invalid sample delivery: visible rejection evidence and retained accepted readings."/>
            <wp:cNvGraphicFramePr>
              <a:graphicFrameLocks noChangeAspect="1"/>
            </wp:cNvGraphicFramePr>
            <a:graphic>
              <a:graphicData uri="http://schemas.openxmlformats.org/drawingml/2006/picture">
                <pic:pic>
                  <pic:nvPicPr>
                    <pic:cNvPr id="0" name="rejected-sample-desktop.png"/>
                    <pic:cNvPicPr/>
                  </pic:nvPicPr>
                  <pic:blipFill>
                    <a:blip r:embed="rId13"/>
                    <a:stretch>
                      <a:fillRect/>
                    </a:stretch>
                  </pic:blipFill>
                  <pic:spPr>
                    <a:xfrm>
                      <a:off x="0" y="0"/>
                      <a:ext cx="6126480" cy="1229535"/>
                    </a:xfrm>
                    <a:prstGeom prst="rect"/>
                  </pic:spPr>
                </pic:pic>
              </a:graphicData>
            </a:graphic>
          </wp:inline>
        </w:drawing>
      </w:r>
    </w:p>
    <w:p>
      <w:pPr>
        <w:pStyle w:val="Caption"/>
      </w:pPr>
      <w:r>
        <w:t>Actual local browser capture of invalid sample delivery: visible rejection evidence and retained accepted readings.</w:t>
      </w:r>
    </w:p>
    <w:p>
      <w:pPr>
        <w:pStyle w:val="Heading2"/>
      </w:pPr>
      <w:r>
        <w:t>Expected versus observed evidence</w:t>
      </w:r>
    </w:p>
    <w:p>
      <w:r>
        <w:t>Observed invalid replay: 24 rejected attempts; first reason events at 5, 8, 9.5, 11, and 14 s; retained 4.5 s readings; timeout at 6.5 s; one delivery recovery and communication clear at 17 s. At 25 s, accepted count/history were 27. Unit/browser checks verify isolation, age, counts, acknowledgment, and recovery. Guided browser clocks do not establish real network or hardware reliability.</w:t>
      </w:r>
    </w:p>
    <w:p>
      <w:pPr>
        <w:pStyle w:val="Heading1"/>
        <w:pageBreakBefore/>
      </w:pPr>
      <w:r>
        <w:t>Device workspace and usable state</w:t>
      </w:r>
    </w:p>
    <w:p>
      <w:r>
        <w:t>A collapsible workspace in all three existing views combines an original six-slot display preview, six-signal browser, and selected-slot property editor. Preview and signal values consume the same accepted sample as the main instruments. Editing binding, label, or range changes display configuration only; engine commands, accepted telemetry, and diagnostic thresholds are unchanged.</w:t>
      </w:r>
    </w:p>
    <w:p>
      <w:pPr>
        <w:jc w:val="center"/>
      </w:pPr>
      <w:r>
        <w:drawing>
          <wp:inline xmlns:a="http://schemas.openxmlformats.org/drawingml/2006/main" xmlns:pic="http://schemas.openxmlformats.org/drawingml/2006/picture">
            <wp:extent cx="6126480" cy="3492517"/>
            <wp:docPr id="4" name="Picture 4" descr="Actual local device workspace showing accepted signals and display-only configuration."/>
            <wp:cNvGraphicFramePr>
              <a:graphicFrameLocks noChangeAspect="1"/>
            </wp:cNvGraphicFramePr>
            <a:graphic>
              <a:graphicData uri="http://schemas.openxmlformats.org/drawingml/2006/picture">
                <pic:pic>
                  <pic:nvPicPr>
                    <pic:cNvPr id="0" name="workspace-desktop.png"/>
                    <pic:cNvPicPr/>
                  </pic:nvPicPr>
                  <pic:blipFill>
                    <a:blip r:embed="rId14"/>
                    <a:stretch>
                      <a:fillRect/>
                    </a:stretch>
                  </pic:blipFill>
                  <pic:spPr>
                    <a:xfrm>
                      <a:off x="0" y="0"/>
                      <a:ext cx="6126480" cy="3492517"/>
                    </a:xfrm>
                    <a:prstGeom prst="rect"/>
                  </pic:spPr>
                </pic:pic>
              </a:graphicData>
            </a:graphic>
          </wp:inline>
        </w:drawing>
      </w:r>
    </w:p>
    <w:p>
      <w:pPr>
        <w:pStyle w:val="Caption"/>
      </w:pPr>
      <w:r>
        <w:t>Actual local device workspace showing accepted signals and display-only configuration.</w:t>
      </w:r>
    </w:p>
    <w:tbl>
      <w:tblPr>
        <w:tblW w:type="auto" w:w="0"/>
        <w:jc w:val="center"/>
        <w:tblLayout w:type="fixed"/>
        <w:tblLook w:firstColumn="1" w:firstRow="1" w:lastColumn="0" w:lastRow="0" w:noHBand="0" w:noVBand="1" w:val="04A0"/>
      </w:tblPr>
      <w:tblGrid>
        <w:gridCol w:w="2880"/>
        <w:gridCol w:w="6768"/>
      </w:tblGrid>
      <w:tr>
        <w:trPr>
          <w:cantSplit/>
          <w:tblHeader/>
        </w:trPr>
        <w:tc>
          <w:tcPr>
            <w:tcW w:type="dxa" w:w="288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Property or behavior</w:t>
            </w:r>
          </w:p>
        </w:tc>
        <w:tc>
          <w:tcPr>
            <w:tcW w:type="dxa" w:w="676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Implemented limit</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Binding and display range</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One existing signal per slot; finite ordered range within that signal display domain; canonical psi/degrees F editor units.</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Label and apply</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Trimmed 1 to 32 characters, no control characters; Apply is atomic and Reset restores the selected slot.</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Out-of-scale value</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Numeric reading remains visible; preview labels above/below scale and clamps the needle.</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Persistence</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Six fixed slots and version 1 session layout; no save/import/export or real display runtime.</w:t>
            </w:r>
          </w:p>
        </w:tc>
      </w:tr>
    </w:tbl>
    <w:p>
      <w:pPr>
        <w:spacing w:after="40"/>
      </w:pPr>
    </w:p>
    <w:p>
      <w:r>
        <w:t>Browser checks covered three views at 1440, 390, and 320 pixel widths in day and night themes. Keyboard selection, editing, Apply and Reset passed. Selected control text contrast measured 5.62 to 1 at night and 5.27 to 1 in day mode after correction; the tested palette pairs exceeded 4.5 to 1. Focus, reduced motion, textual sample states, and stable live announcements were checked. These checks do not replace a formal accessibility or assistive technology audit.</w:t>
      </w:r>
    </w:p>
    <w:p>
      <w:pPr>
        <w:pStyle w:val="Heading1"/>
        <w:pageBreakBefore/>
      </w:pPr>
      <w:r>
        <w:t>Local validation and measured evidence</w:t>
      </w:r>
    </w:p>
    <w:p>
      <w:r>
        <w:t>Starting baseline: 32 unit tests and 7 browser tests passed before feature changes, plus typecheck and both production-base builds. Final local revision: 58 unit tests and 12 browser tests passed. Remote CI/deployments were not run for this sprint; prior remote results are historical evidence.</w:t>
      </w:r>
    </w:p>
    <w:tbl>
      <w:tblPr>
        <w:tblW w:type="auto" w:w="0"/>
        <w:jc w:val="center"/>
        <w:tblLayout w:type="fixed"/>
        <w:tblLook w:firstColumn="1" w:firstRow="1" w:lastColumn="0" w:lastRow="0" w:noHBand="0" w:noVBand="1" w:val="04A0"/>
      </w:tblPr>
      <w:tblGrid>
        <w:gridCol w:w="2448"/>
        <w:gridCol w:w="6192"/>
        <w:gridCol w:w="1008"/>
      </w:tblGrid>
      <w:tr>
        <w:trPr>
          <w:cantSplit/>
          <w:tblHeader/>
        </w:trPr>
        <w:tc>
          <w:tcPr>
            <w:tcW w:type="dxa" w:w="244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Requirement</w:t>
            </w:r>
          </w:p>
        </w:tc>
        <w:tc>
          <w:tcPr>
            <w:tcW w:type="dxa" w:w="619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Method and actual outcome</w:t>
            </w:r>
          </w:p>
        </w:tc>
        <w:tc>
          <w:tcPr>
            <w:tcW w:type="dxa" w:w="100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color w:val="FFFFFF"/>
                <w:sz w:val="19"/>
              </w:rPr>
              <w:t>Status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Contract isolation</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Invalid fields, finite/bounds checks, version and time ordering; accepted readings/history remain uncontaminated.</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Five seeded replays</w:t>
            </w:r>
          </w:p>
        </w:tc>
        <w:tc>
          <w:tcPr>
            <w:tcW w:type="dxa" w:w="61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Retained scenarios plus oil loss and invalid delivery; deterministic transition/recovery assertions.</w:t>
            </w:r>
          </w:p>
        </w:tc>
        <w:tc>
          <w:tcPr>
            <w:tcW w:type="dxa" w:w="100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Diagnostic rules</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Acknowledgment, escalation, hysteresis, clearing, rejected-sample debounce and timeout recovery.</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Bounded evidence</w:t>
            </w:r>
          </w:p>
        </w:tc>
        <w:tc>
          <w:tcPr>
            <w:tcW w:type="dxa" w:w="61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240 accepted samples; 100 events; repeated rejection reasons counted without floods.</w:t>
            </w:r>
          </w:p>
        </w:tc>
        <w:tc>
          <w:tcPr>
            <w:tcW w:type="dxa" w:w="100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Device properties</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Atomic valid apply, invalid property rejection, binding/range/label checks, model/rule independence.</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Browser workflows</w:t>
            </w:r>
          </w:p>
        </w:tc>
        <w:tc>
          <w:tcPr>
            <w:tcW w:type="dxa" w:w="61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Controls, five scenarios, workspace, preferences, keyboard/focus, reduced motion, desktop/mobile three-view fit.</w:t>
            </w:r>
          </w:p>
        </w:tc>
        <w:tc>
          <w:tcPr>
            <w:tcW w:type="dxa" w:w="100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Two static bases</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Root and project-base production build paths; nonempty matching PDF/DOCX downloads.</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Report layout</w:t>
            </w:r>
          </w:p>
        </w:tc>
        <w:tc>
          <w:tcPr>
            <w:tcW w:type="dxa" w:w="61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Final PDF and DOCX rendered and every page inspected with approved local tools.</w:t>
            </w:r>
          </w:p>
        </w:tc>
        <w:tc>
          <w:tcPr>
            <w:tcW w:type="dxa" w:w="100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Privacy and dates</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Approved developer/repository credit, restricted-identity scan, blank report metadata, Fall 2026 edition.</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bl>
    <w:p>
      <w:pPr>
        <w:spacing w:after="40"/>
      </w:pPr>
    </w:p>
    <w:p>
      <w:pPr>
        <w:pStyle w:val="Heading2"/>
      </w:pPr>
      <w:r>
        <w:t>Measured observations</w:t>
      </w:r>
    </w:p>
    <w:p>
      <w:r>
        <w:t>Root production JavaScript totaled 648,009 bytes (195,310 bytes gzip); CSS totaled 33,165 bytes. Browser tests took 107.6 s and unit test bodies 3.45 s. One real-time desktop smoke observed 3 simulated seconds after 3587 ms including interaction overhead; this is one workflow measurement, not scheduling accuracy.</w:t>
      </w:r>
    </w:p>
    <w:p>
      <w:r>
        <w:t>Exact counts, model transitions, bundle bytes, and build/download checks are retained in local validation artifacts. No heap/frame-rate benchmark, browser soak, Safari/Firefox, physical iPhone/cellular, hardware timing, production safety result, or uptime measurement is claimed.</w:t>
      </w:r>
    </w:p>
    <w:p>
      <w:pPr>
        <w:pStyle w:val="Heading1"/>
        <w:pageBreakBefore/>
      </w:pPr>
      <w:r>
        <w:t>Production gaps and engineering tradeoffs</w:t>
      </w:r>
    </w:p>
    <w:p>
      <w:r>
        <w:t>The hardening revision makes invalid data, reproducible faults, and display configuration reviewable before equipment integration. A real deployment needs separate connectivity, safety, security, calibration, and operational evidence.</w:t>
      </w:r>
    </w:p>
    <w:tbl>
      <w:tblPr>
        <w:tblW w:type="auto" w:w="0"/>
        <w:jc w:val="center"/>
        <w:tblLayout w:type="fixed"/>
        <w:tblLook w:firstColumn="1" w:firstRow="1" w:lastColumn="0" w:lastRow="0" w:noHBand="0" w:noVBand="1" w:val="04A0"/>
      </w:tblPr>
      <w:tblGrid>
        <w:gridCol w:w="1584"/>
        <w:gridCol w:w="3744"/>
        <w:gridCol w:w="4320"/>
      </w:tblGrid>
      <w:tr>
        <w:trPr>
          <w:cantSplit/>
          <w:tblHeader/>
        </w:trPr>
        <w:tc>
          <w:tcPr>
            <w:tcW w:type="dxa" w:w="158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Area</w:t>
            </w:r>
          </w:p>
        </w:tc>
        <w:tc>
          <w:tcPr>
            <w:tcW w:type="dxa" w:w="374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Implemented demonstration</w:t>
            </w:r>
          </w:p>
        </w:tc>
        <w:tc>
          <w:tcPr>
            <w:tcW w:type="dxa" w:w="432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Future production requirement</w:t>
            </w:r>
          </w:p>
        </w:tc>
      </w:tr>
      <w:tr>
        <w:trPr>
          <w:cantSplit/>
        </w:trPr>
        <w:tc>
          <w:tcPr>
            <w:tcW w:type="dxa" w:w="158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Input and time</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Versioned generated data; plausibility and simulation-time ordering</w:t>
            </w:r>
          </w:p>
        </w:tc>
        <w:tc>
          <w:tcPr>
            <w:tcW w:type="dxa" w:w="432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device identity, units, clock origin, sequence counters, framing, integrity, and schema migration</w:t>
            </w:r>
          </w:p>
        </w:tc>
      </w:tr>
      <w:tr>
        <w:trPr>
          <w:cantSplit/>
        </w:trPr>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Connectivity</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Simulated missing/rejected delivery</w:t>
            </w:r>
          </w:p>
        </w:tc>
        <w:tc>
          <w:tcPr>
            <w:tcW w:type="dxa" w:w="432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Gateway adapter, protocol testing and controlled network impairment; CAN/J1939 remains hypothetical</w:t>
            </w:r>
          </w:p>
        </w:tc>
      </w:tr>
      <w:tr>
        <w:trPr>
          <w:cantSplit/>
        </w:trPr>
        <w:tc>
          <w:tcPr>
            <w:tcW w:type="dxa" w:w="158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Safety/security</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Display/simulator only; no equipment or credentials</w:t>
            </w:r>
          </w:p>
        </w:tc>
        <w:tc>
          <w:tcPr>
            <w:tcW w:type="dxa" w:w="432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Hazard analysis, separated safety/control, authentication, permissions, secret lifecycle, and independent review</w:t>
            </w:r>
          </w:p>
        </w:tc>
      </w:tr>
      <w:tr>
        <w:trPr>
          <w:cantSplit/>
        </w:trPr>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Diagnostics</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Thresholds, hysteresis, debounce, acknowledgment and delivery evidence</w:t>
            </w:r>
          </w:p>
        </w:tc>
        <w:tc>
          <w:tcPr>
            <w:tcW w:type="dxa" w:w="432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Calibrated alert policy, nuisance-alarm analysis, validated operator response and routing</w:t>
            </w:r>
          </w:p>
        </w:tc>
      </w:tr>
      <w:tr>
        <w:trPr>
          <w:cantSplit/>
        </w:trPr>
        <w:tc>
          <w:tcPr>
            <w:tcW w:type="dxa" w:w="158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Device workspace</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Session-only six-slot preview and display properties</w:t>
            </w:r>
          </w:p>
        </w:tc>
        <w:tc>
          <w:tcPr>
            <w:tcW w:type="dxa" w:w="432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portable layout, supported target runtime, arbitrary widgets and accessible layout editing</w:t>
            </w:r>
          </w:p>
        </w:tc>
      </w:tr>
      <w:tr>
        <w:trPr>
          <w:cantSplit/>
        </w:trPr>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Records and reliability</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Bounded memory, simulated CSV, local automated checks</w:t>
            </w:r>
          </w:p>
        </w:tc>
        <w:tc>
          <w:tcPr>
            <w:tcW w:type="dxa" w:w="432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Durable audited records, monitoring, cross-browser/device tests, hardware tests, soak, rollback and service objectives</w:t>
            </w:r>
          </w:p>
        </w:tc>
      </w:tr>
    </w:tbl>
    <w:p>
      <w:pPr>
        <w:spacing w:after="40"/>
      </w:pPr>
    </w:p>
    <w:p>
      <w:pPr>
        <w:pStyle w:val="Heading2"/>
      </w:pPr>
      <w:r>
        <w:t>Deliberate tradeoffs</w:t>
      </w:r>
    </w:p>
    <w:p>
      <w:r>
        <w:t>A static frontend avoids server, credential, and equipment dependencies. A central reducer exposes replay/state ownership. Strict acceptance preserves trustworthy displayed data at the cost of stale readings when delivery is invalid. Fixed steps favor repeatability over real-time fidelity. Session-only buffers and display layout keep retention explicit; their caps do not prove a total heap bound.</w:t>
      </w:r>
    </w:p>
    <w:p>
      <w:r>
        <w:t>The application cannot command a physical machine, prove a sensor fault, certify an alarm policy, or replace operational monitoring. The Design concept label identifies an independent engineering demonstration.</w:t>
      </w:r>
    </w:p>
    <w:p>
      <w:pPr>
        <w:pStyle w:val="Heading1"/>
        <w:pageBreakBefore/>
      </w:pPr>
      <w:r>
        <w:t>Reviewed work and next publication sprint</w:t>
      </w:r>
    </w:p>
    <w:p>
      <w:pPr>
        <w:pStyle w:val="Heading2"/>
      </w:pPr>
      <w:r>
        <w:t>Implemented locally</w:t>
      </w:r>
    </w:p>
    <w:p>
      <w:r>
        <w:t>The completed local scope adds versioned acceptance, deduplicated rejection/recovery evidence, oil pressure loss and invalid sample replays, display-only device workspace, usability hardening, tests, screenshots, updated shared-source reports, and adjacent GitHub attribution. Existing engine, three views, simulation disclaimer, scenarios, preferences, CSV, and both hosting base paths are preserved.</w:t>
      </w:r>
    </w:p>
    <w:p>
      <w:pPr>
        <w:pStyle w:val="Heading2"/>
      </w:pPr>
      <w:r>
        <w:t>Prioritized future engineering</w:t>
      </w:r>
    </w:p>
    <w:p>
      <w:r>
        <w:t>P0: real gateway adapter; calibrated device schema/identity; hardware in the loop; connectivity security/isolation; Safari/Firefox and physical mobile coverage; formal accessibility audit.</w:t>
      </w:r>
    </w:p>
    <w:p>
      <w:r>
        <w:t>P1: jitter/intermittent/simultaneous faults; durable history; validated alarm routing; accountable configuration audit; independent device streams; versioned layout import/export; authorized physical configuration transactions.</w:t>
      </w:r>
    </w:p>
    <w:p>
      <w:r>
        <w:t>P2: additional widgets/layout editing; target display runtime/export; long-session performance profiling; release provenance/rollback; production observability; calibrated simulation models. The roadmap records benefit and complexity for 19 specific future items and separately marks implemented work.</w:t>
      </w:r>
    </w:p>
    <w:p>
      <w:pPr>
        <w:pStyle w:val="Heading2"/>
      </w:pPr>
      <w:r>
        <w:t>Publication boundary</w:t>
      </w:r>
    </w:p>
    <w:p>
      <w:r>
        <w:t>Package version remains 0.1.0; this report describes an unreleased local hardening revision. The prior v0.1.0 tagged release and public Netlify/Pages checks are historical snapshots, not results for this revision. No remote service was changed, and no new CI run, deployment, or release is claimed.</w:t>
      </w:r>
    </w:p>
    <w:p>
      <w:r>
        <w:t>Source: https://github.com/CloudWizardBoricua/cobalt-instrument-studio. Existing primary: https://cobalt-instrument-studio.netlify.app/. Existing backup: https://cloudwizardboricua.github.io/cobalt-instrument-studio/. The updated local code, tests, evidence, screenshots, contract, roadmap, and PDF/DOCX form the reviewable change set for a separately authorized publication sprint.</w:t>
      </w:r>
    </w:p>
    <w:p>
      <w:r>
        <w:t>Before publication, review the final local results, choose any version/release change deliberately, rerun CI after authorization, verify both hosted bases and report bytes, and complete physical mobile inspection. Existing static hosting needs no development computer, subject to provider availability and plan limits.</w:t>
      </w:r>
    </w:p>
    <w:sectPr w:rsidR="00FC693F" w:rsidRPr="0006063C" w:rsidSect="00034616">
      <w:footerReference w:type="default" r:id="rId9"/>
      <w:pgSz w:w="12240" w:h="15840"/>
      <w:pgMar w:top="936" w:right="1152" w:bottom="936" w:left="1152"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Cobalt Instrument Studio 0.1.0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Arial" w:hAnsi="Arial"/>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Arial" w:hAnsi="Arial"/>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CloudWizardBoricua/cobalt-instrument-studio"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Cobalt Instrument Studio Engineering Report</dc:title>
  <dc:subject>Simulated instrumentation architecture and validation</dc:subject>
  <dc:creator/>
  <cp:keywords>simulation, instrumentation, diagnostics</cp:keywords>
  <dc:description/>
  <cp:lastModifiedBy/>
  <cp:revision>1</cp:revision>
  <cp:category/>
</cp:coreProperties>
</file>