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ptos" w:hAnsi="Aptos"/>
          <w:b/>
          <w:caps w:val="0"/>
          <w:color w:val="17785B"/>
          <w:sz w:val="16"/>
        </w:rPr>
        <w:t>CONFIDENTIAL · DO NOT PUBLISH</w:t>
      </w:r>
    </w:p>
    <w:p>
      <w:pPr>
        <w:pStyle w:val="Title"/>
      </w:pPr>
      <w:r>
        <w:rPr>
          <w:rFonts w:ascii="Aptos" w:hAnsi="Aptos"/>
          <w:b/>
          <w:caps w:val="0"/>
          <w:color w:val="111B30"/>
          <w:sz w:val="50"/>
        </w:rPr>
        <w:t>Pricing &amp; sales policy</w:t>
      </w:r>
    </w:p>
    <w:p>
      <w:pPr>
        <w:spacing w:after="240"/>
      </w:pPr>
      <w:r>
        <w:rPr>
          <w:rFonts w:ascii="Aptos" w:hAnsi="Aptos"/>
          <w:b w:val="0"/>
          <w:caps w:val="0"/>
          <w:color w:val="657187"/>
          <w:sz w:val="20"/>
        </w:rPr>
        <w:t>Two full-access plans with fixed public list prices and controlled annual-subscription discounts.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FF5D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aps w:val="0"/>
                <w:color w:val="111B30"/>
                <w:sz w:val="16"/>
              </w:rPr>
              <w:t>PUBLISHING BOUNDARY</w:t>
            </w:r>
          </w:p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Only the customer-facing pricing document may be published. Never publish the discount authority levels, discounted rates, margins or tax-model assumptions.</w:t>
            </w:r>
          </w:p>
        </w:tc>
      </w:tr>
    </w:tbl>
    <w:p>
      <w:pPr>
        <w:pStyle w:val="Heading1"/>
      </w:pPr>
      <w:r>
        <w:t>1. Approved public list prices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3168"/>
        <w:gridCol w:w="2448"/>
      </w:tblGrid>
      <w:tr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Subscription</w:t>
            </w:r>
          </w:p>
        </w:tc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Billing</w:t>
            </w:r>
          </w:p>
        </w:tc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Customer pays</w:t>
            </w:r>
          </w:p>
        </w:tc>
      </w:tr>
      <w:tr>
        <w:tc>
          <w:tcPr>
            <w:tcW w:type="dxa" w:w="3672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Single Outlet</w:t>
            </w:r>
          </w:p>
        </w:tc>
        <w:tc>
          <w:tcPr>
            <w:tcW w:type="dxa" w:w="3168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3 months</w:t>
            </w:r>
          </w:p>
        </w:tc>
        <w:tc>
          <w:tcPr>
            <w:tcW w:type="dxa" w:w="2448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8"/>
              </w:rPr>
              <w:t>₹2,499</w:t>
            </w:r>
          </w:p>
        </w:tc>
      </w:tr>
      <w:tr>
        <w:tc>
          <w:tcPr>
            <w:tcW w:type="dxa" w:w="3672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Single Outlet</w:t>
            </w:r>
          </w:p>
        </w:tc>
        <w:tc>
          <w:tcPr>
            <w:tcW w:type="dxa" w:w="3168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6 months</w:t>
            </w:r>
          </w:p>
        </w:tc>
        <w:tc>
          <w:tcPr>
            <w:tcW w:type="dxa" w:w="2448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8"/>
              </w:rPr>
              <w:t>₹4,299</w:t>
            </w:r>
          </w:p>
        </w:tc>
      </w:tr>
      <w:tr>
        <w:tc>
          <w:tcPr>
            <w:tcW w:type="dxa" w:w="3672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Single Outlet</w:t>
            </w:r>
          </w:p>
        </w:tc>
        <w:tc>
          <w:tcPr>
            <w:tcW w:type="dxa" w:w="3168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12 months</w:t>
            </w:r>
          </w:p>
        </w:tc>
        <w:tc>
          <w:tcPr>
            <w:tcW w:type="dxa" w:w="2448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8"/>
              </w:rPr>
              <w:t>₹6,999</w:t>
            </w:r>
          </w:p>
        </w:tc>
      </w:tr>
      <w:tr>
        <w:tc>
          <w:tcPr>
            <w:tcW w:type="dxa" w:w="3672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Multi-Outlet · 2+ outlets</w:t>
            </w:r>
          </w:p>
        </w:tc>
        <w:tc>
          <w:tcPr>
            <w:tcW w:type="dxa" w:w="3168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12 months, per outlet</w:t>
            </w:r>
          </w:p>
        </w:tc>
        <w:tc>
          <w:tcPr>
            <w:tcW w:type="dxa" w:w="2448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8"/>
              </w:rPr>
              <w:t>₹5,999</w:t>
            </w:r>
          </w:p>
        </w:tc>
      </w:tr>
    </w:tbl>
    <w:p>
      <w:r>
        <w:rPr>
          <w:rFonts w:ascii="Aptos" w:hAnsi="Aptos"/>
          <w:b/>
          <w:caps w:val="0"/>
          <w:color w:val="152035"/>
          <w:sz w:val="18"/>
        </w:rPr>
        <w:t>Full access</w:t>
      </w:r>
      <w:r>
        <w:rPr>
          <w:rFonts w:ascii="Aptos" w:hAnsi="Aptos"/>
          <w:b w:val="0"/>
          <w:caps w:val="0"/>
          <w:color w:val="152035"/>
          <w:sz w:val="17"/>
        </w:rPr>
        <w:t xml:space="preserve"> means all released standard POS functions. The multi-outlet plan adds centrally managed outlet access; inventory, staff management and table QR are planned, not yet marketable as live functionality.</w:t>
      </w:r>
    </w:p>
    <w:p>
      <w:pPr>
        <w:pStyle w:val="Heading1"/>
      </w:pPr>
      <w:r>
        <w:t>2. Sales discount authority · private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664"/>
        <w:gridCol w:w="4896"/>
      </w:tblGrid>
      <w:tr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Discount</w:t>
            </w:r>
          </w:p>
        </w:tc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Who approves</w:t>
            </w:r>
          </w:p>
        </w:tc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When applicable</w:t>
            </w:r>
          </w:p>
        </w:tc>
      </w:tr>
      <w:tr>
        <w:tc>
          <w:tcPr>
            <w:tcW w:type="dxa" w:w="1728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Up to 10%</w:t>
            </w:r>
          </w:p>
        </w:tc>
        <w:tc>
          <w:tcPr>
            <w:tcW w:type="dxa" w:w="2664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Sales representative</w:t>
            </w:r>
          </w:p>
        </w:tc>
        <w:tc>
          <w:tcPr>
            <w:tcW w:type="dxa" w:w="4896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8"/>
              </w:rPr>
              <w:t>Annual commitment; ordinary negotiated deal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Above 10% to 15%</w:t>
            </w:r>
          </w:p>
        </w:tc>
        <w:tc>
          <w:tcPr>
            <w:tcW w:type="dxa" w:w="2664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Sales manager</w:t>
            </w:r>
          </w:p>
        </w:tc>
        <w:tc>
          <w:tcPr>
            <w:tcW w:type="dxa" w:w="4896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8"/>
              </w:rPr>
              <w:t>Qualified competitive deal / group prospect</w:t>
            </w:r>
          </w:p>
        </w:tc>
      </w:tr>
      <w:tr>
        <w:tc>
          <w:tcPr>
            <w:tcW w:type="dxa" w:w="1728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Above 15% to 20%</w:t>
            </w:r>
          </w:p>
        </w:tc>
        <w:tc>
          <w:tcPr>
            <w:tcW w:type="dxa" w:w="2664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Founder / administrator</w:t>
            </w:r>
          </w:p>
        </w:tc>
        <w:tc>
          <w:tcPr>
            <w:tcW w:type="dxa" w:w="4896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8"/>
              </w:rPr>
              <w:t>Exceptional strategic deal; documented approval</w:t>
            </w:r>
          </w:p>
        </w:tc>
      </w:tr>
    </w:tbl>
    <w:p>
      <w:r>
        <w:rPr>
          <w:rFonts w:ascii="Aptos" w:hAnsi="Aptos"/>
          <w:b/>
          <w:caps w:val="0"/>
          <w:color w:val="152035"/>
          <w:sz w:val="18"/>
        </w:rPr>
        <w:t xml:space="preserve">Limits: </w:t>
      </w:r>
      <w:r>
        <w:rPr>
          <w:rFonts w:ascii="Aptos" w:hAnsi="Aptos"/>
          <w:b w:val="0"/>
          <w:caps w:val="0"/>
          <w:color w:val="152035"/>
          <w:sz w:val="17"/>
        </w:rPr>
        <w:t>No discounts on 3- or 6-month single-outlet plans. Multi-outlet deals normally stop at 10%; any higher concession requires founder approval. Discounts apply to first-year subscriptions only unless explicitly documented. Never promise lifetime discounted renewals.</w:t>
      </w:r>
    </w:p>
    <w:p>
      <w:pPr>
        <w:pStyle w:val="Heading1"/>
      </w:pPr>
      <w:r>
        <w:t>3. Annual price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627"/>
        <w:gridCol w:w="1627"/>
        <w:gridCol w:w="1627"/>
        <w:gridCol w:w="1627"/>
      </w:tblGrid>
      <w:tr>
        <w:tc>
          <w:tcPr>
            <w:tcW w:type="dxa" w:w="1933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Annual plan</w:t>
            </w:r>
          </w:p>
        </w:tc>
        <w:tc>
          <w:tcPr>
            <w:tcW w:type="dxa" w:w="1933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List price</w:t>
            </w:r>
          </w:p>
        </w:tc>
        <w:tc>
          <w:tcPr>
            <w:tcW w:type="dxa" w:w="1933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10% off</w:t>
            </w:r>
          </w:p>
        </w:tc>
        <w:tc>
          <w:tcPr>
            <w:tcW w:type="dxa" w:w="1933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15% off</w:t>
            </w:r>
          </w:p>
        </w:tc>
        <w:tc>
          <w:tcPr>
            <w:tcW w:type="dxa" w:w="1933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20% off</w:t>
            </w:r>
          </w:p>
        </w:tc>
      </w:tr>
      <w:tr>
        <w:tc>
          <w:tcPr>
            <w:tcW w:type="dxa" w:w="2304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Single outlet</w:t>
            </w:r>
          </w:p>
        </w:tc>
        <w:tc>
          <w:tcPr>
            <w:tcW w:type="dxa" w:w="1627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₹6,999</w:t>
            </w:r>
          </w:p>
        </w:tc>
        <w:tc>
          <w:tcPr>
            <w:tcW w:type="dxa" w:w="1627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₹6,299</w:t>
            </w:r>
          </w:p>
        </w:tc>
        <w:tc>
          <w:tcPr>
            <w:tcW w:type="dxa" w:w="1627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₹5,949</w:t>
            </w:r>
          </w:p>
        </w:tc>
        <w:tc>
          <w:tcPr>
            <w:tcW w:type="dxa" w:w="1627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7"/>
              </w:rPr>
              <w:t>₹5,599</w:t>
            </w:r>
          </w:p>
        </w:tc>
      </w:tr>
      <w:tr>
        <w:tc>
          <w:tcPr>
            <w:tcW w:type="dxa" w:w="2304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Multi per outlet</w:t>
            </w:r>
          </w:p>
        </w:tc>
        <w:tc>
          <w:tcPr>
            <w:tcW w:type="dxa" w:w="1627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₹5,999</w:t>
            </w:r>
          </w:p>
        </w:tc>
        <w:tc>
          <w:tcPr>
            <w:tcW w:type="dxa" w:w="1627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₹5,399</w:t>
            </w:r>
          </w:p>
        </w:tc>
        <w:tc>
          <w:tcPr>
            <w:tcW w:type="dxa" w:w="1627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₹5,099</w:t>
            </w:r>
          </w:p>
        </w:tc>
        <w:tc>
          <w:tcPr>
            <w:tcW w:type="dxa" w:w="1627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7"/>
              </w:rPr>
              <w:t>₹4,799</w:t>
            </w:r>
          </w:p>
        </w:tc>
      </w:tr>
    </w:tbl>
    <w:p>
      <w:r>
        <w:rPr>
          <w:rFonts w:ascii="Aptos" w:hAnsi="Aptos"/>
          <w:b w:val="0"/>
          <w:caps w:val="0"/>
          <w:color w:val="657187"/>
          <w:sz w:val="16"/>
        </w:rPr>
        <w:t>Rounded to the nearest whole rupee. Discounted amounts must be recorded in the quotation, with the applicable undiscounted renewal price stated.</w:t>
      </w:r>
    </w:p>
    <w:p>
      <w:pPr>
        <w:pStyle w:val="Heading1"/>
      </w:pPr>
      <w:r>
        <w:t>4. Operating rules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Billing: </w:t>
      </w:r>
      <w:r>
        <w:rPr>
          <w:rFonts w:ascii="Aptos" w:hAnsi="Aptos"/>
          <w:b w:val="0"/>
          <w:caps w:val="0"/>
          <w:color w:val="152035"/>
          <w:sz w:val="18"/>
        </w:rPr>
        <w:t>Quarterly and half-yearly only for single outlets. Multi-outlet customers pay annually in advance.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Additional outlets: </w:t>
      </w:r>
      <w:r>
        <w:rPr>
          <w:rFonts w:ascii="Aptos" w:hAnsi="Aptos"/>
          <w:b w:val="0"/>
          <w:caps w:val="0"/>
          <w:color w:val="152035"/>
          <w:sz w:val="18"/>
        </w:rPr>
        <w:t>Prorate a newly added outlet to the parent account’s anniversary date; charge the standard rate at renewal. Example: six months remaining → approx. ₹3,000 for a new outlet.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Service scope: </w:t>
      </w:r>
      <w:r>
        <w:rPr>
          <w:rFonts w:ascii="Aptos" w:hAnsi="Aptos"/>
          <w:b w:val="0"/>
          <w:caps w:val="0"/>
          <w:color w:val="152035"/>
          <w:sz w:val="18"/>
        </w:rPr>
        <w:t>Core software access is included; hardware, paid messaging/payment providers, custom development and on-site installation are separately quoted.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Support: </w:t>
      </w:r>
      <w:r>
        <w:rPr>
          <w:rFonts w:ascii="Aptos" w:hAnsi="Aptos"/>
          <w:b w:val="0"/>
          <w:caps w:val="0"/>
          <w:color w:val="152035"/>
          <w:sz w:val="18"/>
        </w:rPr>
        <w:t>Confirm actual supported channels, business hours, printer compatibility and onboarding entitlement before inserting commitments into quotes.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Cancellations: </w:t>
      </w:r>
      <w:r>
        <w:rPr>
          <w:rFonts w:ascii="Aptos" w:hAnsi="Aptos"/>
          <w:b w:val="0"/>
          <w:caps w:val="0"/>
          <w:color w:val="152035"/>
          <w:sz w:val="18"/>
        </w:rPr>
        <w:t>State renewal, cancellation and refund conditions in the signed order and published terms; do not promise automatic refunds.</w:t>
      </w:r>
    </w:p>
    <w:p>
      <w:r>
        <w:rPr>
          <w:rFonts w:ascii="Aptos" w:hAnsi="Aptos"/>
          <w:b/>
          <w:caps w:val="0"/>
          <w:color w:val="17785B"/>
          <w:sz w:val="16"/>
        </w:rPr>
        <w:t>FINANCIAL &amp; COMPLIANCE CONTROLS</w:t>
      </w:r>
    </w:p>
    <w:p>
      <w:r>
        <w:rPr>
          <w:rFonts w:ascii="Aptos" w:hAnsi="Aptos"/>
          <w:b w:val="0"/>
          <w:caps w:val="0"/>
          <w:color w:val="657187"/>
          <w:sz w:val="17"/>
        </w:rPr>
        <w:t>Figures below assume valid 6% composition enrollment; have the company CA verify eligibility and interstate supply treatment.</w:t>
      </w:r>
    </w:p>
    <w:p>
      <w:pPr>
        <w:pStyle w:val="Heading1"/>
      </w:pPr>
      <w:r>
        <w:t>5. Subscription receipts under 6% composition levy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168"/>
        <w:gridCol w:w="3024"/>
      </w:tblGrid>
      <w:tr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Customer price</w:t>
            </w:r>
          </w:p>
        </w:tc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Estimated 6% tax borne by RestaBee</w:t>
            </w:r>
          </w:p>
        </w:tc>
        <w:tc>
          <w:tcPr>
            <w:tcW w:type="dxa" w:w="3221"/>
            <w:shd w:fill="111B30"/>
            <w:tcMar>
              <w:top w:w="110" w:type="dxa"/>
              <w:start w:w="125" w:type="dxa"/>
              <w:bottom w:w="11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Receipts after levy*</w:t>
            </w:r>
          </w:p>
        </w:tc>
      </w:tr>
      <w:tr>
        <w:tc>
          <w:tcPr>
            <w:tcW w:type="dxa" w:w="3096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₹2,499 · 3 months</w:t>
            </w:r>
          </w:p>
        </w:tc>
        <w:tc>
          <w:tcPr>
            <w:tcW w:type="dxa" w:w="3168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₹150</w:t>
            </w:r>
          </w:p>
        </w:tc>
        <w:tc>
          <w:tcPr>
            <w:tcW w:type="dxa" w:w="3024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7"/>
              </w:rPr>
              <w:t>₹2,349</w:t>
            </w:r>
          </w:p>
        </w:tc>
      </w:tr>
      <w:tr>
        <w:tc>
          <w:tcPr>
            <w:tcW w:type="dxa" w:w="3096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₹4,299 · 6 months</w:t>
            </w:r>
          </w:p>
        </w:tc>
        <w:tc>
          <w:tcPr>
            <w:tcW w:type="dxa" w:w="3168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₹258</w:t>
            </w:r>
          </w:p>
        </w:tc>
        <w:tc>
          <w:tcPr>
            <w:tcW w:type="dxa" w:w="3024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7"/>
              </w:rPr>
              <w:t>₹4,041</w:t>
            </w:r>
          </w:p>
        </w:tc>
      </w:tr>
      <w:tr>
        <w:tc>
          <w:tcPr>
            <w:tcW w:type="dxa" w:w="3096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₹6,999 · single annual</w:t>
            </w:r>
          </w:p>
        </w:tc>
        <w:tc>
          <w:tcPr>
            <w:tcW w:type="dxa" w:w="3168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₹420</w:t>
            </w:r>
          </w:p>
        </w:tc>
        <w:tc>
          <w:tcPr>
            <w:tcW w:type="dxa" w:w="3024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7"/>
              </w:rPr>
              <w:t>₹6,579</w:t>
            </w:r>
          </w:p>
        </w:tc>
      </w:tr>
      <w:tr>
        <w:tc>
          <w:tcPr>
            <w:tcW w:type="dxa" w:w="3096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₹5,999 · multi annual / outlet</w:t>
            </w:r>
          </w:p>
        </w:tc>
        <w:tc>
          <w:tcPr>
            <w:tcW w:type="dxa" w:w="3168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₹360</w:t>
            </w:r>
          </w:p>
        </w:tc>
        <w:tc>
          <w:tcPr>
            <w:tcW w:type="dxa" w:w="3024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7"/>
              </w:rPr>
              <w:t>₹5,639</w:t>
            </w:r>
          </w:p>
        </w:tc>
      </w:tr>
      <w:tr>
        <w:tc>
          <w:tcPr>
            <w:tcW w:type="dxa" w:w="3096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₹5,599 · 20%-off single</w:t>
            </w:r>
          </w:p>
        </w:tc>
        <w:tc>
          <w:tcPr>
            <w:tcW w:type="dxa" w:w="3168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₹336</w:t>
            </w:r>
          </w:p>
        </w:tc>
        <w:tc>
          <w:tcPr>
            <w:tcW w:type="dxa" w:w="3024"/>
            <w:shd w:fill="F4F6FA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7"/>
              </w:rPr>
              <w:t>₹5,263</w:t>
            </w:r>
          </w:p>
        </w:tc>
      </w:tr>
      <w:tr>
        <w:tc>
          <w:tcPr>
            <w:tcW w:type="dxa" w:w="3096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₹4,799 · 20%-off multi</w:t>
            </w:r>
          </w:p>
        </w:tc>
        <w:tc>
          <w:tcPr>
            <w:tcW w:type="dxa" w:w="3168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 w:val="0"/>
                <w:caps w:val="0"/>
                <w:color w:val="152035"/>
                <w:sz w:val="17"/>
              </w:rPr>
              <w:t>₹288</w:t>
            </w:r>
          </w:p>
        </w:tc>
        <w:tc>
          <w:tcPr>
            <w:tcW w:type="dxa" w:w="3024"/>
            <w:shd w:fill="FFFFFF"/>
            <w:tcMar>
              <w:top w:w="100" w:type="dxa"/>
              <w:start w:w="125" w:type="dxa"/>
              <w:bottom w:w="100" w:type="dxa"/>
              <w:end w:w="125" w:type="dxa"/>
            </w:tcMar>
          </w:tcPr>
          <w:p>
            <w:r>
              <w:rPr>
                <w:rFonts w:ascii="Aptos" w:hAnsi="Aptos"/>
                <w:b/>
                <w:caps w:val="0"/>
                <w:color w:val="152035"/>
                <w:sz w:val="17"/>
              </w:rPr>
              <w:t>₹4,511</w:t>
            </w:r>
          </w:p>
        </w:tc>
      </w:tr>
    </w:tbl>
    <w:p>
      <w:r>
        <w:rPr>
          <w:rFonts w:ascii="Aptos" w:hAnsi="Aptos"/>
          <w:b w:val="0"/>
          <w:caps w:val="0"/>
          <w:color w:val="657187"/>
          <w:sz w:val="16"/>
        </w:rPr>
        <w:t>*Before infrastructure, technical support, payment fees, salaries, customer acquisition and onboarding. The 6% estimate is applied to gross subscription receipts, not calculated as tax included within a GST invoice.</w:t>
      </w:r>
    </w:p>
    <w:p>
      <w:pPr>
        <w:pStyle w:val="Heading1"/>
      </w:pPr>
      <w:r>
        <w:t>6. Mandatory composition-scheme safeguards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Customer invoicing: </w:t>
      </w:r>
      <w:r>
        <w:rPr>
          <w:rFonts w:ascii="Aptos" w:hAnsi="Aptos"/>
          <w:b w:val="0"/>
          <w:caps w:val="0"/>
          <w:color w:val="152035"/>
          <w:sz w:val="18"/>
        </w:rPr>
        <w:t>A composition taxpayer cannot charge or collect GST separately, cannot issue GST tax invoices, and generally issues a Bill of Supply. Avoid “18% GST included” or “claim GST input credit” language.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Interstate SaaS sales: </w:t>
      </w:r>
      <w:r>
        <w:rPr>
          <w:rFonts w:ascii="Aptos" w:hAnsi="Aptos"/>
          <w:b w:val="0"/>
          <w:caps w:val="0"/>
          <w:color w:val="152035"/>
          <w:sz w:val="18"/>
        </w:rPr>
        <w:t>Section 10(2A) restricts interstate outward supplies. Nationwide online sales or out-of-state restaurant customers may create an interstate place-of-supply issue. Obtain professional review before taking bookings across states.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Turnover limit: </w:t>
      </w:r>
      <w:r>
        <w:rPr>
          <w:rFonts w:ascii="Aptos" w:hAnsi="Aptos"/>
          <w:b w:val="0"/>
          <w:caps w:val="0"/>
          <w:color w:val="152035"/>
          <w:sz w:val="18"/>
        </w:rPr>
        <w:t>The service-provider composition route generally has a ₹50 lakh preceding-financial-year PAN-based turnover condition, with ongoing eligibility requirements. Consider turnover from all relevant businesses under the same PAN.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Input tax credit: </w:t>
      </w:r>
      <w:r>
        <w:rPr>
          <w:rFonts w:ascii="Aptos" w:hAnsi="Aptos"/>
          <w:b w:val="0"/>
          <w:caps w:val="0"/>
          <w:color w:val="152035"/>
          <w:sz w:val="18"/>
        </w:rPr>
        <w:t>Composition taxpayers cannot generally claim input GST credits; incorporate irrecoverable GST on tools, cloud and hardware into real unit-cost calculations.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Tax status changes: </w:t>
      </w:r>
      <w:r>
        <w:rPr>
          <w:rFonts w:ascii="Aptos" w:hAnsi="Aptos"/>
          <w:b w:val="0"/>
          <w:caps w:val="0"/>
          <w:color w:val="152035"/>
          <w:sz w:val="18"/>
        </w:rPr>
        <w:t>If the business must move to regular GST, reassess list prices, invoicing and renewal terms before accepting new customers.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63"/>
      </w:tblGrid>
      <w:tr>
        <w:trPr>
          <w:cantSplit/>
        </w:trPr>
        <w:tc>
          <w:tcPr>
            <w:tcW w:type="dxa" w:w="9663"/>
            <w:shd w:fill="FFF5DF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aps w:val="0"/>
                <w:color w:val="111B30"/>
                <w:sz w:val="16"/>
              </w:rPr>
              <w:t>ACTION BEFORE LAUNCH</w:t>
            </w:r>
          </w:p>
          <w:p>
            <w:r>
              <w:rPr>
                <w:rFonts w:ascii="Aptos" w:hAnsi="Aptos"/>
                <w:b w:val="0"/>
                <w:caps w:val="0"/>
                <w:color w:val="152035"/>
                <w:sz w:val="18"/>
              </w:rPr>
              <w:t>Have the CA confirm the exact GST registration classification, Section 10(2A) eligibility, place-of-supply consequences for cloud POS subscriptions, and whether the current invoicing and customer geography comply. Pricing can be finalized now, but tax treatment is not a substitute for this check.</w:t>
            </w:r>
          </w:p>
        </w:tc>
      </w:tr>
    </w:tbl>
    <w:p>
      <w:pPr>
        <w:pStyle w:val="Heading1"/>
      </w:pPr>
      <w:r>
        <w:t>7. Decision rules for viable growth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Acquisition target: </w:t>
      </w:r>
      <w:r>
        <w:rPr>
          <w:rFonts w:ascii="Aptos" w:hAnsi="Aptos"/>
          <w:b w:val="0"/>
          <w:caps w:val="0"/>
          <w:color w:val="152035"/>
          <w:sz w:val="18"/>
        </w:rPr>
        <w:t>Keep first-year customer-acquisition plus onboarding cost below the contribution available after the composition levy and variable support costs.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Track per outlet: </w:t>
      </w:r>
      <w:r>
        <w:rPr>
          <w:rFonts w:ascii="Aptos" w:hAnsi="Aptos"/>
          <w:b w:val="0"/>
          <w:caps w:val="0"/>
          <w:color w:val="152035"/>
          <w:sz w:val="18"/>
        </w:rPr>
        <w:t>Hosting consumption, support tickets/hours, onboarding time, renewals, churn and actual cash collections.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Discount reporting: </w:t>
      </w:r>
      <w:r>
        <w:rPr>
          <w:rFonts w:ascii="Aptos" w:hAnsi="Aptos"/>
          <w:b w:val="0"/>
          <w:caps w:val="0"/>
          <w:color w:val="152035"/>
          <w:sz w:val="18"/>
        </w:rPr>
        <w:t>Log salesperson, list price, discount, final amount, approving person, number of outlets and renewal price.</w:t>
      </w:r>
    </w:p>
    <w:p>
      <w:pPr>
        <w:pStyle w:val="ListBullet"/>
      </w:pPr>
      <w:r>
        <w:rPr>
          <w:rFonts w:ascii="Aptos" w:hAnsi="Aptos"/>
          <w:b/>
          <w:caps w:val="0"/>
          <w:color w:val="152035"/>
          <w:sz w:val="18"/>
        </w:rPr>
        <w:t xml:space="preserve">Review cadence: </w:t>
      </w:r>
      <w:r>
        <w:rPr>
          <w:rFonts w:ascii="Aptos" w:hAnsi="Aptos"/>
          <w:b w:val="0"/>
          <w:caps w:val="0"/>
          <w:color w:val="152035"/>
          <w:sz w:val="18"/>
        </w:rPr>
        <w:t>Reassess prices after 20–30 paying outlets and quarterly thereafter; do not change existing contracted prices without notice/terms.</w:t>
      </w:r>
    </w:p>
    <w:p>
      <w:pPr>
        <w:spacing w:before="160"/>
      </w:pPr>
      <w:r>
        <w:rPr>
          <w:rFonts w:ascii="Aptos" w:hAnsi="Aptos"/>
          <w:b/>
          <w:caps w:val="0"/>
          <w:color w:val="152035"/>
          <w:sz w:val="16"/>
        </w:rPr>
        <w:t xml:space="preserve">Official reference: </w:t>
      </w:r>
      <w:r>
        <w:rPr>
          <w:rFonts w:ascii="Aptos" w:hAnsi="Aptos"/>
          <w:b w:val="0"/>
          <w:caps w:val="0"/>
          <w:color w:val="657187"/>
          <w:sz w:val="15"/>
        </w:rPr>
        <w:t>CBIC Section 10 – taxinformation.cbic.gov.in/content-page/explore-act/1000279/1000001; GST Portal welcome kit; PIB, 7 March 2019, PRID 1567975.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06" w:right="1123" w:bottom="734" w:left="1123" w:header="432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aps w:val="0"/>
        <w:color w:val="657187"/>
        <w:sz w:val="16"/>
      </w:rPr>
      <w:t>RestaBee  ·  restabee.com  ·  25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ptos" w:hAnsi="Aptos"/>
        <w:b/>
        <w:caps w:val="0"/>
        <w:color w:val="111B30"/>
        <w:sz w:val="18"/>
      </w:rPr>
      <w:t>RESTABEE</w:t>
    </w:r>
    <w:r>
      <w:rPr>
        <w:rFonts w:ascii="Aptos" w:hAnsi="Aptos"/>
        <w:b w:val="0"/>
        <w:caps w:val="0"/>
        <w:color w:val="657187"/>
        <w:sz w:val="16"/>
      </w:rPr>
      <w:t xml:space="preserve">   /   INTERNAL SALES PRICING POLICY /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1520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B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B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B3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RestaBee | INTERNAL SALES PRICING POLICY / CONFIDENTIAL</dc:title>
  <dc:subject/>
  <dc:creator>RestaBee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