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ptos" w:hAnsi="Aptos"/>
          <w:b/>
          <w:caps w:val="0"/>
          <w:color w:val="17785B"/>
          <w:sz w:val="16"/>
        </w:rPr>
        <w:t>SIMPLE PRICING. COMPLETE ACCESS.</w:t>
      </w:r>
    </w:p>
    <w:p>
      <w:pPr>
        <w:pStyle w:val="Title"/>
      </w:pPr>
      <w:r>
        <w:rPr>
          <w:rFonts w:ascii="Aptos" w:hAnsi="Aptos"/>
          <w:b/>
          <w:caps w:val="0"/>
          <w:color w:val="111B30"/>
          <w:sz w:val="50"/>
        </w:rPr>
        <w:t>Restaurant POS pricing</w:t>
      </w:r>
    </w:p>
    <w:p>
      <w:pPr>
        <w:spacing w:after="240"/>
      </w:pPr>
      <w:r>
        <w:rPr>
          <w:rFonts w:ascii="Aptos" w:hAnsi="Aptos"/>
          <w:b w:val="0"/>
          <w:caps w:val="0"/>
          <w:color w:val="657187"/>
          <w:sz w:val="20"/>
        </w:rPr>
        <w:t>Transparent subscriptions for independent restaurants and growing multi-outlet teams. No feature-based upgrade tiers.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111B30"/>
            <w:tcMar>
              <w:top w:w="235" w:type="dxa"/>
              <w:start w:w="245" w:type="dxa"/>
              <w:bottom w:w="235" w:type="dxa"/>
              <w:end w:w="245" w:type="dxa"/>
            </w:tcMar>
          </w:tcPr>
          <w:p>
            <w:pPr>
              <w:spacing w:after="360"/>
            </w:pPr>
            <w:r>
              <w:rPr>
                <w:rFonts w:ascii="Aptos" w:hAnsi="Aptos"/>
                <w:b/>
                <w:caps w:val="0"/>
                <w:color w:val="E8A734"/>
                <w:sz w:val="18"/>
              </w:rPr>
              <w:t>SINGLE OUTLET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caps w:val="0"/>
                <w:color w:val="FFFFFF"/>
                <w:sz w:val="54"/>
              </w:rPr>
              <w:t>₹6,999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caps w:val="0"/>
                <w:color w:val="D6E1EE"/>
                <w:sz w:val="17"/>
              </w:rPr>
              <w:t>per year · one restaurant</w:t>
            </w:r>
          </w:p>
          <w:p>
            <w:r>
              <w:rPr>
                <w:rFonts w:ascii="Aptos" w:hAnsi="Aptos"/>
                <w:b w:val="0"/>
                <w:caps w:val="0"/>
                <w:color w:val="FFFFFF"/>
                <w:sz w:val="18"/>
              </w:rPr>
              <w:t>Complete access to standard RestaBee POS features.</w:t>
            </w:r>
          </w:p>
        </w:tc>
        <w:tc>
          <w:tcPr>
            <w:tcW w:type="dxa" w:w="4831"/>
            <w:shd w:fill="F1F4F8"/>
            <w:tcMar>
              <w:top w:w="235" w:type="dxa"/>
              <w:start w:w="245" w:type="dxa"/>
              <w:bottom w:w="235" w:type="dxa"/>
              <w:end w:w="245" w:type="dxa"/>
            </w:tcMar>
          </w:tcPr>
          <w:p>
            <w:pPr>
              <w:spacing w:after="360"/>
            </w:pPr>
            <w:r>
              <w:rPr>
                <w:rFonts w:ascii="Aptos" w:hAnsi="Aptos"/>
                <w:b/>
                <w:caps w:val="0"/>
                <w:color w:val="17785B"/>
                <w:sz w:val="18"/>
              </w:rPr>
              <w:t>MULTI-OUTLET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caps w:val="0"/>
                <w:color w:val="111B30"/>
                <w:sz w:val="54"/>
              </w:rPr>
              <w:t>₹5,999</w:t>
            </w:r>
          </w:p>
          <w:p>
            <w:pPr>
              <w:spacing w:after="180"/>
            </w:pPr>
            <w:r>
              <w:rPr>
                <w:rFonts w:ascii="Aptos" w:hAnsi="Aptos"/>
                <w:b w:val="0"/>
                <w:caps w:val="0"/>
                <w:color w:val="657187"/>
                <w:sz w:val="17"/>
              </w:rPr>
              <w:t>per outlet / year · min. 2 outlets</w:t>
            </w:r>
          </w:p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Complete POS access with centralized multi-outlet management.</w:t>
            </w:r>
          </w:p>
        </w:tc>
      </w:tr>
    </w:tbl>
    <w:p>
      <w:pPr>
        <w:pStyle w:val="Heading1"/>
      </w:pPr>
      <w:r>
        <w:t>Flexible billing for one outlet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240"/>
        <w:gridCol w:w="2952"/>
      </w:tblGrid>
      <w:tr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Choose a term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Total payable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Effective monthly cost</w:t>
            </w:r>
          </w:p>
        </w:tc>
      </w:tr>
      <w:tr>
        <w:tc>
          <w:tcPr>
            <w:tcW w:type="dxa" w:w="331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3 months</w:t>
            </w:r>
          </w:p>
        </w:tc>
        <w:tc>
          <w:tcPr>
            <w:tcW w:type="dxa" w:w="3240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₹2,499</w:t>
            </w:r>
          </w:p>
        </w:tc>
        <w:tc>
          <w:tcPr>
            <w:tcW w:type="dxa" w:w="295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₹833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6 months</w:t>
            </w:r>
          </w:p>
        </w:tc>
        <w:tc>
          <w:tcPr>
            <w:tcW w:type="dxa" w:w="3240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₹4,299</w:t>
            </w:r>
          </w:p>
        </w:tc>
        <w:tc>
          <w:tcPr>
            <w:tcW w:type="dxa" w:w="2952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₹717</w:t>
            </w:r>
          </w:p>
        </w:tc>
      </w:tr>
      <w:tr>
        <w:tc>
          <w:tcPr>
            <w:tcW w:type="dxa" w:w="331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12 months · best value</w:t>
            </w:r>
          </w:p>
        </w:tc>
        <w:tc>
          <w:tcPr>
            <w:tcW w:type="dxa" w:w="3240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₹6,999</w:t>
            </w:r>
          </w:p>
        </w:tc>
        <w:tc>
          <w:tcPr>
            <w:tcW w:type="dxa" w:w="295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₹583</w:t>
            </w:r>
          </w:p>
        </w:tc>
      </w:tr>
    </w:tbl>
    <w:p>
      <w:pPr>
        <w:pStyle w:val="Heading1"/>
      </w:pPr>
      <w:r>
        <w:t>What is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Dine-in, takeaway and staff-entered delivery orders</w:t>
            </w:r>
          </w:p>
        </w:tc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Kitchen order tickets and station workflows</w:t>
            </w:r>
          </w:p>
        </w:tc>
      </w:tr>
      <w:tr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Table, floor and party management</w:t>
            </w:r>
          </w:p>
        </w:tc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GST/tax-configurable bills and split payments</w:t>
            </w:r>
          </w:p>
        </w:tc>
      </w:tr>
      <w:tr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Menu management, modifiers and combos</w:t>
            </w:r>
          </w:p>
        </w:tc>
        <w:tc>
          <w:tcPr>
            <w:tcW w:type="dxa" w:w="483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caps w:val="0"/>
                <w:color w:val="17785B"/>
                <w:sz w:val="20"/>
              </w:rPr>
              <w:t xml:space="preserve">✓  </w:t>
            </w:r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Sales reports, cash shifts and user permissions</w:t>
            </w:r>
          </w:p>
        </w:tc>
      </w:tr>
    </w:tbl>
    <w:p>
      <w:pPr>
        <w:pStyle w:val="Heading1"/>
      </w:pPr>
      <w:r>
        <w:t>Multi-outlet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2 outlets</w:t>
            </w:r>
          </w:p>
        </w:tc>
        <w:tc>
          <w:tcPr>
            <w:tcW w:type="dxa" w:w="2416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3 outlets</w:t>
            </w:r>
          </w:p>
        </w:tc>
        <w:tc>
          <w:tcPr>
            <w:tcW w:type="dxa" w:w="2416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5 outlets</w:t>
            </w:r>
          </w:p>
        </w:tc>
        <w:tc>
          <w:tcPr>
            <w:tcW w:type="dxa" w:w="2416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10 outlets</w:t>
            </w:r>
          </w:p>
        </w:tc>
      </w:tr>
      <w:tr>
        <w:tc>
          <w:tcPr>
            <w:tcW w:type="dxa" w:w="241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₹11,998/year</w:t>
            </w:r>
          </w:p>
        </w:tc>
        <w:tc>
          <w:tcPr>
            <w:tcW w:type="dxa" w:w="241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₹17,997/year</w:t>
            </w:r>
          </w:p>
        </w:tc>
        <w:tc>
          <w:tcPr>
            <w:tcW w:type="dxa" w:w="241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₹29,995/year</w:t>
            </w:r>
          </w:p>
        </w:tc>
        <w:tc>
          <w:tcPr>
            <w:tcW w:type="dxa" w:w="241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₹59,990/year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EEF1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aps w:val="0"/>
                <w:color w:val="111B30"/>
                <w:sz w:val="16"/>
              </w:rPr>
              <w:t>FINAL PAYABLE PRICE</w:t>
            </w:r>
          </w:p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Prices shown are the complete payable subscription amounts, with no GST added separately. Multi-outlet billing is annual (minimum two outlets). Hardware, third-party services and custom work are quoted separately. Planned modules are not yet released.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06" w:right="1123" w:bottom="734" w:left="1123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aps w:val="0"/>
        <w:color w:val="657187"/>
        <w:sz w:val="16"/>
      </w:rPr>
      <w:t>RestaBee  ·  restabee.com  ·  25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b/>
        <w:caps w:val="0"/>
        <w:color w:val="111B30"/>
        <w:sz w:val="18"/>
      </w:rPr>
      <w:t>RESTABEE</w:t>
    </w:r>
    <w:r>
      <w:rPr>
        <w:rFonts w:ascii="Aptos" w:hAnsi="Aptos"/>
        <w:b w:val="0"/>
        <w:caps w:val="0"/>
        <w:color w:val="657187"/>
        <w:sz w:val="16"/>
      </w:rPr>
      <w:t xml:space="preserve">   /   PRICING / 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520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B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B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B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RestaBee | PRICING / PUBLIC</dc:title>
  <dc:subject/>
  <dc:creator>RestaBee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