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 Wealth Management - 2024 Private Portfolio Proposal</w:t>
      </w:r>
    </w:p>
    <w:p>
      <w:r>
        <w:t>Client Name: Robert Henderson</w:t>
      </w:r>
    </w:p>
    <w:p>
      <w:r>
        <w:t>Email: robert.henderson@examplecorp.com</w:t>
      </w:r>
    </w:p>
    <w:p>
      <w:r>
        <w:t>Phone: (555) 234-5678</w:t>
      </w:r>
    </w:p>
    <w:p>
      <w:r>
        <w:t>Account Number: ACCT-982341</w:t>
      </w:r>
    </w:p>
    <w:p>
      <w:r>
        <w:t>Address: 742 Evergreen Terrace, Springfield, IL 62704</w:t>
      </w:r>
    </w:p>
    <w:p>
      <w:r>
        <w:t>Target Portfolio Value: $1,500,000</w:t>
      </w:r>
    </w:p>
    <w:p>
      <w:pPr>
        <w:pStyle w:val="Heading1"/>
      </w:pPr>
      <w:r>
        <w:t>Executive Summary</w:t>
      </w:r>
    </w:p>
    <w:p>
      <w:r>
        <w:t>Dear Mr. Henderson,</w:t>
        <w:br/>
        <w:br/>
        <w:t>We are pleased to present this tailored investment strategy for your retirement portfolio. Our core thesis focuses on blue-chip dividend growth and short-duration Treasury notes. Over the past 12 months, our conservative growth sleeve delivered an exceptional return of 14.8% net of fees, outperforming the benchmark by 220 basis points.</w:t>
      </w:r>
    </w:p>
    <w:p>
      <w:pPr>
        <w:pStyle w:val="Heading2"/>
      </w:pPr>
      <w:r>
        <w:t>Proposed Asset Allocation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Asset Class</w:t>
            </w:r>
          </w:p>
        </w:tc>
        <w:tc>
          <w:tcPr>
            <w:tcW w:type="dxa" w:w="2880"/>
          </w:tcPr>
          <w:p>
            <w:r>
              <w:t>Target %</w:t>
            </w:r>
          </w:p>
        </w:tc>
        <w:tc>
          <w:tcPr>
            <w:tcW w:type="dxa" w:w="2880"/>
          </w:tcPr>
          <w:p>
            <w:r>
              <w:t>Expected Yield</w:t>
            </w:r>
          </w:p>
        </w:tc>
      </w:tr>
      <w:tr>
        <w:tc>
          <w:tcPr>
            <w:tcW w:type="dxa" w:w="2880"/>
          </w:tcPr>
          <w:p>
            <w:r>
              <w:t>US Large Cap Equities</w:t>
            </w:r>
          </w:p>
        </w:tc>
        <w:tc>
          <w:tcPr>
            <w:tcW w:type="dxa" w:w="2880"/>
          </w:tcPr>
          <w:p>
            <w:r>
              <w:t>45%</w:t>
            </w:r>
          </w:p>
        </w:tc>
        <w:tc>
          <w:tcPr>
            <w:tcW w:type="dxa" w:w="2880"/>
          </w:tcPr>
          <w:p>
            <w:r>
              <w:t>2.1%</w:t>
            </w:r>
          </w:p>
        </w:tc>
      </w:tr>
      <w:tr>
        <w:tc>
          <w:tcPr>
            <w:tcW w:type="dxa" w:w="2880"/>
          </w:tcPr>
          <w:p>
            <w:r>
              <w:t>Short-Term US Treasuries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4.8%</w:t>
            </w:r>
          </w:p>
        </w:tc>
      </w:tr>
      <w:tr>
        <w:tc>
          <w:tcPr>
            <w:tcW w:type="dxa" w:w="2880"/>
          </w:tcPr>
          <w:p>
            <w:r>
              <w:t>Municipal Bonds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3.6%</w:t>
            </w:r>
          </w:p>
        </w:tc>
      </w:tr>
      <w:tr>
        <w:tc>
          <w:tcPr>
            <w:tcW w:type="dxa" w:w="2880"/>
          </w:tcPr>
          <w:p>
            <w:r>
              <w:t>Cash &amp; Equivalents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5.1%</w:t>
            </w:r>
          </w:p>
        </w:tc>
      </w:tr>
    </w:tbl>
    <w:p>
      <w:pPr>
        <w:pStyle w:val="Heading1"/>
      </w:pPr>
      <w:r>
        <w:t>Important Regulatory Disclosures</w:t>
      </w:r>
    </w:p>
    <w:p>
      <w:r>
        <w:t>Past performance is not indicative of future results. Investing in securities involves risk of loss. Securities offered through Apex Wealth Partners LLC, an SEC-Registered Investment Advisor. This document does not constitute tax or legal advice. Please consult your independent CPA.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