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SmartEnergy Lab Battery Simulation Module</w:t>
      </w:r>
    </w:p>
    <w:p>
      <w:pPr>
        <w:jc w:val="center"/>
      </w:pPr>
      <w:r>
        <w:rPr>
          <w:i/>
          <w:sz w:val="24"/>
        </w:rPr>
        <w:t>Backend Feature Request / Implementation Specification</w:t>
      </w:r>
    </w:p>
    <w:p>
      <w:pPr>
        <w:jc w:val="center"/>
      </w:pPr>
      <w:r>
        <w:rPr>
          <w:color w:val="5A5A5A"/>
          <w:sz w:val="18"/>
        </w:rPr>
        <w:t>Project: bachelor thesis software module for a PV + battery laboratory stand</w:t>
      </w:r>
    </w:p>
    <w:p/>
    <w:p>
      <w:pPr>
        <w:pStyle w:val="Heading1"/>
      </w:pPr>
      <w:r>
        <w:t>1. Purpose and scope</w:t>
      </w:r>
    </w:p>
    <w:p>
      <w:r>
        <w:t>This document defines the backend battery simulation requirements for the SmartEnergy Lab project. The battery module is intentionally simpler than the load, solar, and grid modules. It should model the battery as an energy buffer with chemistry-specific usable capacity, voltage display curve, charge/discharge limits, and linear cycle-based degradation.</w:t>
      </w:r>
    </w:p>
    <w:p>
      <w:r>
        <w:t>The model is designed for a thesis demonstration and for interaction with later EMS/charging logic. It must be explainable, deterministic enough for repeatable backfills/tests, and should avoid detailed electrochemical modeling.</w:t>
      </w:r>
    </w:p>
    <w:p>
      <w:pPr>
        <w:pStyle w:val="Heading1"/>
      </w:pPr>
      <w:r>
        <w:t>2. Non-goals</w:t>
      </w:r>
    </w:p>
    <w:p>
      <w:pPr>
        <w:pStyle w:val="ListBullet"/>
      </w:pPr>
      <w:r>
        <w:t>No detailed electrochemical cell model.</w:t>
      </w:r>
    </w:p>
    <w:p>
      <w:pPr>
        <w:pStyle w:val="ListBullet"/>
      </w:pPr>
      <w:r>
        <w:t>No internal resistance, temperature model, Peukert correction, voltage sag, BMS balancing, or cell-level series/parallel simulation.</w:t>
      </w:r>
    </w:p>
    <w:p>
      <w:pPr>
        <w:pStyle w:val="ListBullet"/>
      </w:pPr>
      <w:r>
        <w:t>No real CC/CV charge-controller implementation inside the battery model.</w:t>
      </w:r>
    </w:p>
    <w:p>
      <w:pPr>
        <w:pStyle w:val="ListBullet"/>
      </w:pPr>
      <w:r>
        <w:t>No decision logic about whether to charge from grid or solar. That belongs to the EMS/charging module.</w:t>
      </w:r>
    </w:p>
    <w:p>
      <w:pPr>
        <w:pStyle w:val="ListBullet"/>
      </w:pPr>
      <w:r>
        <w:t>No frontend work in the initial backend implementation step.</w:t>
      </w:r>
    </w:p>
    <w:p>
      <w:pPr>
        <w:pStyle w:val="ListBullet"/>
      </w:pPr>
      <w:r>
        <w:t>No storage/backfill/API implementation until the pure battery engine is confirmed by tests and diagnostic plots.</w:t>
      </w:r>
    </w:p>
    <w:p>
      <w:pPr>
        <w:pStyle w:val="Heading1"/>
      </w:pPr>
      <w:r>
        <w:t>3. YAML configuration contract</w:t>
      </w:r>
    </w:p>
    <w:p>
      <w:r>
        <w:t>The user-facing station configuration should expose only the following battery fields:</w:t>
      </w:r>
    </w:p>
    <w:p>
      <w:pPr>
        <w:spacing w:before="60" w:after="120"/>
        <w:ind w:left="360"/>
        <w:shd w:fill="F2F2F2"/>
      </w:pPr>
      <w:r>
        <w:rPr>
          <w:rFonts w:ascii="Consolas" w:hAnsi="Consolas" w:eastAsia="Consolas"/>
          <w:sz w:val="16"/>
        </w:rPr>
        <w:t>battery:</w:t>
        <w:br/>
        <w:t xml:space="preserve">  chemistry: lifepo4        # lead_acid | lifepo4 | li_ion</w:t>
        <w:br/>
        <w:t xml:space="preserve">  nominal_voltage_v: 24     # allowed values: 12 or 24 only</w:t>
        <w:br/>
        <w:t xml:space="preserve">  capacity_ah: 100          # nominal manufacturer capacity in ampere-hours</w:t>
        <w:br/>
        <w:t xml:space="preserve">  installation_date: 2026-01-01</w:t>
      </w:r>
    </w:p>
    <w:p>
      <w:r>
        <w:t>Validation rules:</w:t>
      </w:r>
    </w:p>
    <w:p>
      <w:pPr>
        <w:pStyle w:val="ListBullet"/>
      </w:pPr>
      <w:r>
        <w:t>chemistry must be one of: lead_acid, lifepo4, li_ion.</w:t>
      </w:r>
    </w:p>
    <w:p>
      <w:pPr>
        <w:pStyle w:val="ListBullet"/>
      </w:pPr>
      <w:r>
        <w:t>nominal_voltage_v must be exactly 12 or 24. No arbitrary voltage values.</w:t>
      </w:r>
    </w:p>
    <w:p>
      <w:pPr>
        <w:pStyle w:val="ListBullet"/>
      </w:pPr>
      <w:r>
        <w:t>capacity_ah must be positive.</w:t>
      </w:r>
    </w:p>
    <w:p>
      <w:pPr>
        <w:pStyle w:val="ListBullet"/>
      </w:pPr>
      <w:r>
        <w:t>installation_date must be a valid date.</w:t>
      </w:r>
    </w:p>
    <w:p>
      <w:pPr>
        <w:pStyle w:val="ListBullet"/>
      </w:pPr>
      <w:r>
        <w:t>All other battery behavior parameters are derived from built-in chemistry profiles, not configured by the user.</w:t>
      </w:r>
    </w:p>
    <w:p>
      <w:r>
        <w:br w:type="page"/>
      </w:r>
    </w:p>
    <w:p>
      <w:pPr>
        <w:pStyle w:val="Heading1"/>
      </w:pPr>
      <w:r>
        <w:t>4. Chemistry profiles</w:t>
      </w:r>
    </w:p>
    <w:p>
      <w:r>
        <w:t>The chemistry profile converts nominal manufacturer capacity into safe usable simulation capacity. Depth of discharge is treated as the fraction of nominal capacity removed from a full battery. Commercial battery cycle-life is strongly affected by DoD, and lithium batteries generally tolerate deeper discharge than lead-acid batteries [1], [2].</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shd w:fill="D9EAF7"/>
            <w:vAlign w:val="center"/>
          </w:tcPr>
          <w:p>
            <w:r>
              <w:rPr>
                <w:rFonts w:ascii="Arial" w:hAnsi="Arial" w:eastAsia="Arial"/>
                <w:sz w:val="17"/>
              </w:rPr>
            </w:r>
            <w:r>
              <w:rPr>
                <w:rFonts w:ascii="Arial" w:hAnsi="Arial" w:eastAsia="Arial"/>
                <w:b/>
                <w:sz w:val="17"/>
              </w:rPr>
              <w:t>Chemistry</w:t>
            </w:r>
          </w:p>
        </w:tc>
        <w:tc>
          <w:tcPr>
            <w:tcW w:type="dxa" w:w="864"/>
            <w:shd w:fill="D9EAF7"/>
            <w:vAlign w:val="center"/>
          </w:tcPr>
          <w:p>
            <w:r>
              <w:rPr>
                <w:rFonts w:ascii="Arial" w:hAnsi="Arial" w:eastAsia="Arial"/>
                <w:sz w:val="17"/>
              </w:rPr>
            </w:r>
            <w:r>
              <w:rPr>
                <w:rFonts w:ascii="Arial" w:hAnsi="Arial" w:eastAsia="Arial"/>
                <w:b/>
                <w:sz w:val="17"/>
              </w:rPr>
              <w:t>Profile DoD</w:t>
            </w:r>
          </w:p>
        </w:tc>
        <w:tc>
          <w:tcPr>
            <w:tcW w:type="dxa" w:w="1296"/>
            <w:shd w:fill="D9EAF7"/>
            <w:vAlign w:val="center"/>
          </w:tcPr>
          <w:p>
            <w:r>
              <w:rPr>
                <w:rFonts w:ascii="Arial" w:hAnsi="Arial" w:eastAsia="Arial"/>
                <w:sz w:val="17"/>
              </w:rPr>
            </w:r>
            <w:r>
              <w:rPr>
                <w:rFonts w:ascii="Arial" w:hAnsi="Arial" w:eastAsia="Arial"/>
                <w:b/>
                <w:sz w:val="17"/>
              </w:rPr>
              <w:t>Operational usable fraction</w:t>
            </w:r>
          </w:p>
        </w:tc>
        <w:tc>
          <w:tcPr>
            <w:tcW w:type="dxa" w:w="1152"/>
            <w:shd w:fill="D9EAF7"/>
            <w:vAlign w:val="center"/>
          </w:tcPr>
          <w:p>
            <w:r>
              <w:rPr>
                <w:rFonts w:ascii="Arial" w:hAnsi="Arial" w:eastAsia="Arial"/>
                <w:sz w:val="17"/>
              </w:rPr>
            </w:r>
            <w:r>
              <w:rPr>
                <w:rFonts w:ascii="Arial" w:hAnsi="Arial" w:eastAsia="Arial"/>
                <w:b/>
                <w:sz w:val="17"/>
              </w:rPr>
              <w:t>Reference cycle life</w:t>
            </w:r>
          </w:p>
        </w:tc>
        <w:tc>
          <w:tcPr>
            <w:tcW w:type="dxa" w:w="1008"/>
            <w:shd w:fill="D9EAF7"/>
            <w:vAlign w:val="center"/>
          </w:tcPr>
          <w:p>
            <w:r>
              <w:rPr>
                <w:rFonts w:ascii="Arial" w:hAnsi="Arial" w:eastAsia="Arial"/>
                <w:sz w:val="17"/>
              </w:rPr>
            </w:r>
            <w:r>
              <w:rPr>
                <w:rFonts w:ascii="Arial" w:hAnsi="Arial" w:eastAsia="Arial"/>
                <w:b/>
                <w:sz w:val="17"/>
              </w:rPr>
              <w:t>Max charge C-rate</w:t>
            </w:r>
          </w:p>
        </w:tc>
        <w:tc>
          <w:tcPr>
            <w:tcW w:type="dxa" w:w="1008"/>
            <w:shd w:fill="D9EAF7"/>
            <w:vAlign w:val="center"/>
          </w:tcPr>
          <w:p>
            <w:r>
              <w:rPr>
                <w:rFonts w:ascii="Arial" w:hAnsi="Arial" w:eastAsia="Arial"/>
                <w:sz w:val="17"/>
              </w:rPr>
            </w:r>
            <w:r>
              <w:rPr>
                <w:rFonts w:ascii="Arial" w:hAnsi="Arial" w:eastAsia="Arial"/>
                <w:b/>
                <w:sz w:val="17"/>
              </w:rPr>
              <w:t>Charge efficiency</w:t>
            </w:r>
          </w:p>
        </w:tc>
        <w:tc>
          <w:tcPr>
            <w:tcW w:type="dxa" w:w="1152"/>
            <w:shd w:fill="D9EAF7"/>
            <w:vAlign w:val="center"/>
          </w:tcPr>
          <w:p>
            <w:r>
              <w:rPr>
                <w:rFonts w:ascii="Arial" w:hAnsi="Arial" w:eastAsia="Arial"/>
                <w:sz w:val="17"/>
              </w:rPr>
            </w:r>
            <w:r>
              <w:rPr>
                <w:rFonts w:ascii="Arial" w:hAnsi="Arial" w:eastAsia="Arial"/>
                <w:b/>
                <w:sz w:val="17"/>
              </w:rPr>
              <w:t>Discharge efficiency</w:t>
            </w:r>
          </w:p>
        </w:tc>
        <w:tc>
          <w:tcPr>
            <w:tcW w:type="dxa" w:w="3024"/>
            <w:shd w:fill="D9EAF7"/>
            <w:vAlign w:val="center"/>
          </w:tcPr>
          <w:p>
            <w:r>
              <w:rPr>
                <w:rFonts w:ascii="Arial" w:hAnsi="Arial" w:eastAsia="Arial"/>
                <w:sz w:val="17"/>
              </w:rPr>
            </w:r>
            <w:r>
              <w:rPr>
                <w:rFonts w:ascii="Arial" w:hAnsi="Arial" w:eastAsia="Arial"/>
                <w:b/>
                <w:sz w:val="17"/>
              </w:rPr>
              <w:t>Notes</w:t>
            </w:r>
          </w:p>
        </w:tc>
      </w:tr>
      <w:tr>
        <w:tc>
          <w:tcPr>
            <w:tcW w:type="dxa" w:w="1152"/>
            <w:vAlign w:val="top"/>
          </w:tcPr>
          <w:p>
            <w:r>
              <w:rPr>
                <w:rFonts w:ascii="Arial" w:hAnsi="Arial" w:eastAsia="Arial"/>
                <w:sz w:val="17"/>
              </w:rPr>
            </w:r>
            <w:r>
              <w:rPr>
                <w:rFonts w:ascii="Arial" w:hAnsi="Arial" w:eastAsia="Arial"/>
                <w:b w:val="0"/>
                <w:sz w:val="17"/>
              </w:rPr>
              <w:t>lead_acid</w:t>
            </w:r>
          </w:p>
        </w:tc>
        <w:tc>
          <w:tcPr>
            <w:tcW w:type="dxa" w:w="864"/>
            <w:vAlign w:val="top"/>
          </w:tcPr>
          <w:p>
            <w:r>
              <w:rPr>
                <w:rFonts w:ascii="Arial" w:hAnsi="Arial" w:eastAsia="Arial"/>
                <w:sz w:val="17"/>
              </w:rPr>
            </w:r>
            <w:r>
              <w:rPr>
                <w:rFonts w:ascii="Arial" w:hAnsi="Arial" w:eastAsia="Arial"/>
                <w:b w:val="0"/>
                <w:sz w:val="17"/>
              </w:rPr>
              <w:t>0.50</w:t>
            </w:r>
          </w:p>
        </w:tc>
        <w:tc>
          <w:tcPr>
            <w:tcW w:type="dxa" w:w="1296"/>
            <w:vAlign w:val="top"/>
          </w:tcPr>
          <w:p>
            <w:r>
              <w:rPr>
                <w:rFonts w:ascii="Arial" w:hAnsi="Arial" w:eastAsia="Arial"/>
                <w:sz w:val="17"/>
              </w:rPr>
            </w:r>
            <w:r>
              <w:rPr>
                <w:rFonts w:ascii="Arial" w:hAnsi="Arial" w:eastAsia="Arial"/>
                <w:b w:val="0"/>
                <w:sz w:val="17"/>
              </w:rPr>
              <w:t>0.40</w:t>
            </w:r>
          </w:p>
        </w:tc>
        <w:tc>
          <w:tcPr>
            <w:tcW w:type="dxa" w:w="1152"/>
            <w:vAlign w:val="top"/>
          </w:tcPr>
          <w:p>
            <w:r>
              <w:rPr>
                <w:rFonts w:ascii="Arial" w:hAnsi="Arial" w:eastAsia="Arial"/>
                <w:sz w:val="17"/>
              </w:rPr>
            </w:r>
            <w:r>
              <w:rPr>
                <w:rFonts w:ascii="Arial" w:hAnsi="Arial" w:eastAsia="Arial"/>
                <w:b w:val="0"/>
                <w:sz w:val="17"/>
              </w:rPr>
              <w:t>500</w:t>
            </w:r>
          </w:p>
        </w:tc>
        <w:tc>
          <w:tcPr>
            <w:tcW w:type="dxa" w:w="1008"/>
            <w:vAlign w:val="top"/>
          </w:tcPr>
          <w:p>
            <w:r>
              <w:rPr>
                <w:rFonts w:ascii="Arial" w:hAnsi="Arial" w:eastAsia="Arial"/>
                <w:sz w:val="17"/>
              </w:rPr>
            </w:r>
            <w:r>
              <w:rPr>
                <w:rFonts w:ascii="Arial" w:hAnsi="Arial" w:eastAsia="Arial"/>
                <w:b w:val="0"/>
                <w:sz w:val="17"/>
              </w:rPr>
              <w:t>0.20C</w:t>
            </w:r>
          </w:p>
        </w:tc>
        <w:tc>
          <w:tcPr>
            <w:tcW w:type="dxa" w:w="1008"/>
            <w:vAlign w:val="top"/>
          </w:tcPr>
          <w:p>
            <w:r>
              <w:rPr>
                <w:rFonts w:ascii="Arial" w:hAnsi="Arial" w:eastAsia="Arial"/>
                <w:sz w:val="17"/>
              </w:rPr>
            </w:r>
            <w:r>
              <w:rPr>
                <w:rFonts w:ascii="Arial" w:hAnsi="Arial" w:eastAsia="Arial"/>
                <w:b w:val="0"/>
                <w:sz w:val="17"/>
              </w:rPr>
              <w:t>0.85</w:t>
            </w:r>
          </w:p>
        </w:tc>
        <w:tc>
          <w:tcPr>
            <w:tcW w:type="dxa" w:w="1152"/>
            <w:vAlign w:val="top"/>
          </w:tcPr>
          <w:p>
            <w:r>
              <w:rPr>
                <w:rFonts w:ascii="Arial" w:hAnsi="Arial" w:eastAsia="Arial"/>
                <w:sz w:val="17"/>
              </w:rPr>
            </w:r>
            <w:r>
              <w:rPr>
                <w:rFonts w:ascii="Arial" w:hAnsi="Arial" w:eastAsia="Arial"/>
                <w:b w:val="0"/>
                <w:sz w:val="17"/>
              </w:rPr>
              <w:t>0.85</w:t>
            </w:r>
          </w:p>
        </w:tc>
        <w:tc>
          <w:tcPr>
            <w:tcW w:type="dxa" w:w="3024"/>
            <w:vAlign w:val="top"/>
          </w:tcPr>
          <w:p>
            <w:r>
              <w:rPr>
                <w:rFonts w:ascii="Arial" w:hAnsi="Arial" w:eastAsia="Arial"/>
                <w:sz w:val="17"/>
              </w:rPr>
            </w:r>
            <w:r>
              <w:rPr>
                <w:rFonts w:ascii="Arial" w:hAnsi="Arial" w:eastAsia="Arial"/>
                <w:b w:val="0"/>
                <w:sz w:val="17"/>
              </w:rPr>
              <w:t>Conservative VRLA/deep-cycle style profile. Normal operation avoids deep discharge.</w:t>
            </w:r>
          </w:p>
        </w:tc>
      </w:tr>
      <w:tr>
        <w:tc>
          <w:tcPr>
            <w:tcW w:type="dxa" w:w="1152"/>
            <w:vAlign w:val="top"/>
          </w:tcPr>
          <w:p>
            <w:r>
              <w:rPr>
                <w:rFonts w:ascii="Arial" w:hAnsi="Arial" w:eastAsia="Arial"/>
                <w:sz w:val="17"/>
              </w:rPr>
            </w:r>
            <w:r>
              <w:rPr>
                <w:rFonts w:ascii="Arial" w:hAnsi="Arial" w:eastAsia="Arial"/>
                <w:b w:val="0"/>
                <w:sz w:val="17"/>
              </w:rPr>
              <w:t>lifepo4</w:t>
            </w:r>
          </w:p>
        </w:tc>
        <w:tc>
          <w:tcPr>
            <w:tcW w:type="dxa" w:w="864"/>
            <w:vAlign w:val="top"/>
          </w:tcPr>
          <w:p>
            <w:r>
              <w:rPr>
                <w:rFonts w:ascii="Arial" w:hAnsi="Arial" w:eastAsia="Arial"/>
                <w:sz w:val="17"/>
              </w:rPr>
            </w:r>
            <w:r>
              <w:rPr>
                <w:rFonts w:ascii="Arial" w:hAnsi="Arial" w:eastAsia="Arial"/>
                <w:b w:val="0"/>
                <w:sz w:val="17"/>
              </w:rPr>
              <w:t>1.00</w:t>
            </w:r>
          </w:p>
        </w:tc>
        <w:tc>
          <w:tcPr>
            <w:tcW w:type="dxa" w:w="1296"/>
            <w:vAlign w:val="top"/>
          </w:tcPr>
          <w:p>
            <w:r>
              <w:rPr>
                <w:rFonts w:ascii="Arial" w:hAnsi="Arial" w:eastAsia="Arial"/>
                <w:sz w:val="17"/>
              </w:rPr>
            </w:r>
            <w:r>
              <w:rPr>
                <w:rFonts w:ascii="Arial" w:hAnsi="Arial" w:eastAsia="Arial"/>
                <w:b w:val="0"/>
                <w:sz w:val="17"/>
              </w:rPr>
              <w:t>0.80</w:t>
            </w:r>
          </w:p>
        </w:tc>
        <w:tc>
          <w:tcPr>
            <w:tcW w:type="dxa" w:w="1152"/>
            <w:vAlign w:val="top"/>
          </w:tcPr>
          <w:p>
            <w:r>
              <w:rPr>
                <w:rFonts w:ascii="Arial" w:hAnsi="Arial" w:eastAsia="Arial"/>
                <w:sz w:val="17"/>
              </w:rPr>
            </w:r>
            <w:r>
              <w:rPr>
                <w:rFonts w:ascii="Arial" w:hAnsi="Arial" w:eastAsia="Arial"/>
                <w:b w:val="0"/>
                <w:sz w:val="17"/>
              </w:rPr>
              <w:t>3000</w:t>
            </w:r>
          </w:p>
        </w:tc>
        <w:tc>
          <w:tcPr>
            <w:tcW w:type="dxa" w:w="1008"/>
            <w:vAlign w:val="top"/>
          </w:tcPr>
          <w:p>
            <w:r>
              <w:rPr>
                <w:rFonts w:ascii="Arial" w:hAnsi="Arial" w:eastAsia="Arial"/>
                <w:sz w:val="17"/>
              </w:rPr>
            </w:r>
            <w:r>
              <w:rPr>
                <w:rFonts w:ascii="Arial" w:hAnsi="Arial" w:eastAsia="Arial"/>
                <w:b w:val="0"/>
                <w:sz w:val="17"/>
              </w:rPr>
              <w:t>0.50C</w:t>
            </w:r>
          </w:p>
        </w:tc>
        <w:tc>
          <w:tcPr>
            <w:tcW w:type="dxa" w:w="1008"/>
            <w:vAlign w:val="top"/>
          </w:tcPr>
          <w:p>
            <w:r>
              <w:rPr>
                <w:rFonts w:ascii="Arial" w:hAnsi="Arial" w:eastAsia="Arial"/>
                <w:sz w:val="17"/>
              </w:rPr>
            </w:r>
            <w:r>
              <w:rPr>
                <w:rFonts w:ascii="Arial" w:hAnsi="Arial" w:eastAsia="Arial"/>
                <w:b w:val="0"/>
                <w:sz w:val="17"/>
              </w:rPr>
              <w:t>0.95</w:t>
            </w:r>
          </w:p>
        </w:tc>
        <w:tc>
          <w:tcPr>
            <w:tcW w:type="dxa" w:w="1152"/>
            <w:vAlign w:val="top"/>
          </w:tcPr>
          <w:p>
            <w:r>
              <w:rPr>
                <w:rFonts w:ascii="Arial" w:hAnsi="Arial" w:eastAsia="Arial"/>
                <w:sz w:val="17"/>
              </w:rPr>
            </w:r>
            <w:r>
              <w:rPr>
                <w:rFonts w:ascii="Arial" w:hAnsi="Arial" w:eastAsia="Arial"/>
                <w:b w:val="0"/>
                <w:sz w:val="17"/>
              </w:rPr>
              <w:t>0.95</w:t>
            </w:r>
          </w:p>
        </w:tc>
        <w:tc>
          <w:tcPr>
            <w:tcW w:type="dxa" w:w="3024"/>
            <w:vAlign w:val="top"/>
          </w:tcPr>
          <w:p>
            <w:r>
              <w:rPr>
                <w:rFonts w:ascii="Arial" w:hAnsi="Arial" w:eastAsia="Arial"/>
                <w:sz w:val="17"/>
              </w:rPr>
            </w:r>
            <w:r>
              <w:rPr>
                <w:rFonts w:ascii="Arial" w:hAnsi="Arial" w:eastAsia="Arial"/>
                <w:b w:val="0"/>
                <w:sz w:val="17"/>
              </w:rPr>
              <w:t>Flat voltage profile, high cycle life, safe usable window.</w:t>
            </w:r>
          </w:p>
        </w:tc>
      </w:tr>
      <w:tr>
        <w:tc>
          <w:tcPr>
            <w:tcW w:type="dxa" w:w="1152"/>
            <w:vAlign w:val="top"/>
          </w:tcPr>
          <w:p>
            <w:r>
              <w:rPr>
                <w:rFonts w:ascii="Arial" w:hAnsi="Arial" w:eastAsia="Arial"/>
                <w:sz w:val="17"/>
              </w:rPr>
            </w:r>
            <w:r>
              <w:rPr>
                <w:rFonts w:ascii="Arial" w:hAnsi="Arial" w:eastAsia="Arial"/>
                <w:b w:val="0"/>
                <w:sz w:val="17"/>
              </w:rPr>
              <w:t>li_ion</w:t>
            </w:r>
          </w:p>
        </w:tc>
        <w:tc>
          <w:tcPr>
            <w:tcW w:type="dxa" w:w="864"/>
            <w:vAlign w:val="top"/>
          </w:tcPr>
          <w:p>
            <w:r>
              <w:rPr>
                <w:rFonts w:ascii="Arial" w:hAnsi="Arial" w:eastAsia="Arial"/>
                <w:sz w:val="17"/>
              </w:rPr>
            </w:r>
            <w:r>
              <w:rPr>
                <w:rFonts w:ascii="Arial" w:hAnsi="Arial" w:eastAsia="Arial"/>
                <w:b w:val="0"/>
                <w:sz w:val="17"/>
              </w:rPr>
              <w:t>0.90</w:t>
            </w:r>
          </w:p>
        </w:tc>
        <w:tc>
          <w:tcPr>
            <w:tcW w:type="dxa" w:w="1296"/>
            <w:vAlign w:val="top"/>
          </w:tcPr>
          <w:p>
            <w:r>
              <w:rPr>
                <w:rFonts w:ascii="Arial" w:hAnsi="Arial" w:eastAsia="Arial"/>
                <w:sz w:val="17"/>
              </w:rPr>
            </w:r>
            <w:r>
              <w:rPr>
                <w:rFonts w:ascii="Arial" w:hAnsi="Arial" w:eastAsia="Arial"/>
                <w:b w:val="0"/>
                <w:sz w:val="17"/>
              </w:rPr>
              <w:t>0.72</w:t>
            </w:r>
          </w:p>
        </w:tc>
        <w:tc>
          <w:tcPr>
            <w:tcW w:type="dxa" w:w="1152"/>
            <w:vAlign w:val="top"/>
          </w:tcPr>
          <w:p>
            <w:r>
              <w:rPr>
                <w:rFonts w:ascii="Arial" w:hAnsi="Arial" w:eastAsia="Arial"/>
                <w:sz w:val="17"/>
              </w:rPr>
            </w:r>
            <w:r>
              <w:rPr>
                <w:rFonts w:ascii="Arial" w:hAnsi="Arial" w:eastAsia="Arial"/>
                <w:b w:val="0"/>
                <w:sz w:val="17"/>
              </w:rPr>
              <w:t>800</w:t>
            </w:r>
          </w:p>
        </w:tc>
        <w:tc>
          <w:tcPr>
            <w:tcW w:type="dxa" w:w="1008"/>
            <w:vAlign w:val="top"/>
          </w:tcPr>
          <w:p>
            <w:r>
              <w:rPr>
                <w:rFonts w:ascii="Arial" w:hAnsi="Arial" w:eastAsia="Arial"/>
                <w:sz w:val="17"/>
              </w:rPr>
            </w:r>
            <w:r>
              <w:rPr>
                <w:rFonts w:ascii="Arial" w:hAnsi="Arial" w:eastAsia="Arial"/>
                <w:b w:val="0"/>
                <w:sz w:val="17"/>
              </w:rPr>
              <w:t>0.50C</w:t>
            </w:r>
          </w:p>
        </w:tc>
        <w:tc>
          <w:tcPr>
            <w:tcW w:type="dxa" w:w="1008"/>
            <w:vAlign w:val="top"/>
          </w:tcPr>
          <w:p>
            <w:r>
              <w:rPr>
                <w:rFonts w:ascii="Arial" w:hAnsi="Arial" w:eastAsia="Arial"/>
                <w:sz w:val="17"/>
              </w:rPr>
            </w:r>
            <w:r>
              <w:rPr>
                <w:rFonts w:ascii="Arial" w:hAnsi="Arial" w:eastAsia="Arial"/>
                <w:b w:val="0"/>
                <w:sz w:val="17"/>
              </w:rPr>
              <w:t>0.93</w:t>
            </w:r>
          </w:p>
        </w:tc>
        <w:tc>
          <w:tcPr>
            <w:tcW w:type="dxa" w:w="1152"/>
            <w:vAlign w:val="top"/>
          </w:tcPr>
          <w:p>
            <w:r>
              <w:rPr>
                <w:rFonts w:ascii="Arial" w:hAnsi="Arial" w:eastAsia="Arial"/>
                <w:sz w:val="17"/>
              </w:rPr>
            </w:r>
            <w:r>
              <w:rPr>
                <w:rFonts w:ascii="Arial" w:hAnsi="Arial" w:eastAsia="Arial"/>
                <w:b w:val="0"/>
                <w:sz w:val="17"/>
              </w:rPr>
              <w:t>0.93</w:t>
            </w:r>
          </w:p>
        </w:tc>
        <w:tc>
          <w:tcPr>
            <w:tcW w:type="dxa" w:w="3024"/>
            <w:vAlign w:val="top"/>
          </w:tcPr>
          <w:p>
            <w:r>
              <w:rPr>
                <w:rFonts w:ascii="Arial" w:hAnsi="Arial" w:eastAsia="Arial"/>
                <w:sz w:val="17"/>
              </w:rPr>
            </w:r>
            <w:r>
              <w:rPr>
                <w:rFonts w:ascii="Arial" w:hAnsi="Arial" w:eastAsia="Arial"/>
                <w:b w:val="0"/>
                <w:sz w:val="17"/>
              </w:rPr>
              <w:t>Generic lithium-ion pack profile, deeper usable DoD than lead-acid but lower cycle life than LiFePO4.</w:t>
            </w:r>
          </w:p>
        </w:tc>
      </w:tr>
    </w:tbl>
    <w:p>
      <w:r>
        <w:t>Operational usable fraction is intentionally not the same as nominal capacity. It represents a safe working window. For example, a 24 V, 100 Ah LiFePO4 battery has nominal energy of 2400 Wh and an operational usable energy of 1920 Wh.</w:t>
      </w:r>
    </w:p>
    <w:p>
      <w:pPr>
        <w:pStyle w:val="Heading1"/>
      </w:pPr>
      <w:r>
        <w:t>5. Core formulas</w:t>
      </w:r>
    </w:p>
    <w:p>
      <w:pPr>
        <w:spacing w:before="60" w:after="120"/>
        <w:ind w:left="360"/>
        <w:shd w:fill="F2F2F2"/>
      </w:pPr>
      <w:r>
        <w:rPr>
          <w:rFonts w:ascii="Consolas" w:hAnsi="Consolas" w:eastAsia="Consolas"/>
          <w:sz w:val="16"/>
        </w:rPr>
        <w:t>nominal_energy_wh = nominal_voltage_v * capacity_ah</w:t>
        <w:br/>
        <w:t>profile_usable_energy_wh = nominal_energy_wh * profile_usable_dod_fraction</w:t>
        <w:br/>
        <w:t>operational_usable_energy_wh = nominal_energy_wh * operational_usable_fraction</w:t>
        <w:br/>
        <w:t>current_usable_capacity_wh = operational_usable_energy_wh * (soh_percent / 100)</w:t>
        <w:br/>
        <w:t>soc_percent = energy_wh / current_usable_capacity_wh * 100</w:t>
      </w:r>
    </w:p>
    <w:p>
      <w:r>
        <w:t>Initial state on installation date:</w:t>
      </w:r>
    </w:p>
    <w:p>
      <w:pPr>
        <w:pStyle w:val="ListBullet"/>
      </w:pPr>
      <w:r>
        <w:t>Battery is new: soh_percent = 100.</w:t>
      </w:r>
    </w:p>
    <w:p>
      <w:pPr>
        <w:pStyle w:val="ListBullet"/>
      </w:pPr>
      <w:r>
        <w:t>Battery starts at 50% of current usable capacity.</w:t>
      </w:r>
    </w:p>
    <w:p>
      <w:pPr>
        <w:pStyle w:val="ListBullet"/>
      </w:pPr>
      <w:r>
        <w:t>energy_wh = current_usable_capacity_wh * 0.50.</w:t>
      </w:r>
    </w:p>
    <w:p>
      <w:pPr>
        <w:pStyle w:val="ListBullet"/>
      </w:pPr>
      <w:r>
        <w:t>equivalent_cycles_today and total_equivalent_cycles start at 0.</w:t>
      </w:r>
    </w:p>
    <w:p>
      <w:r>
        <w:br w:type="page"/>
      </w:r>
    </w:p>
    <w:p>
      <w:pPr>
        <w:pStyle w:val="Heading1"/>
      </w:pPr>
      <w:r>
        <w:t>6. Per-step battery update model</w:t>
      </w:r>
    </w:p>
    <w:p>
      <w:r>
        <w:t>The pure battery engine receives requested battery power from a later EMS/charging module. It does not decide charging policy itself. The recommended backend interface is net battery power, where positive means charging and negative means discharging.</w:t>
      </w:r>
    </w:p>
    <w:p>
      <w:pPr>
        <w:spacing w:before="60" w:after="120"/>
        <w:ind w:left="360"/>
        <w:shd w:fill="F2F2F2"/>
      </w:pPr>
      <w:r>
        <w:rPr>
          <w:rFonts w:ascii="Consolas" w:hAnsi="Consolas" w:eastAsia="Consolas"/>
          <w:sz w:val="16"/>
        </w:rPr>
        <w:t>input per step:</w:t>
        <w:br/>
        <w:t xml:space="preserve">  timestamp</w:t>
        <w:br/>
        <w:t xml:space="preserve">  net_battery_power_w</w:t>
        <w:br/>
        <w:t xml:space="preserve">  dt_minutes = 1 by default</w:t>
        <w:br/>
        <w:br/>
        <w:t>if net_battery_power_w &gt; 0:</w:t>
        <w:br/>
        <w:t xml:space="preserve">    requested_charge_w = net_battery_power_w</w:t>
        <w:br/>
        <w:t xml:space="preserve">    applied_charge_w = min(requested_charge_w, max_charge_power_w, empty_capacity_wh / (dt_hours * charge_efficiency))</w:t>
        <w:br/>
        <w:t xml:space="preserve">    energy_wh += applied_charge_w * charge_efficiency * dt_hours</w:t>
        <w:br/>
        <w:br/>
        <w:t>elif net_battery_power_w &lt; 0:</w:t>
        <w:br/>
        <w:t xml:space="preserve">    requested_discharge_w = abs(net_battery_power_w)</w:t>
        <w:br/>
        <w:t xml:space="preserve">    applied_discharge_w = min(requested_discharge_w, energy_wh * discharge_efficiency / dt_hours)</w:t>
        <w:br/>
        <w:t xml:space="preserve">    energy_wh -= applied_discharge_w / discharge_efficiency * dt_hours</w:t>
        <w:br/>
        <w:br/>
        <w:t>energy_wh = clamp(energy_wh, 0, current_usable_capacity_wh)</w:t>
      </w:r>
    </w:p>
    <w:p>
      <w:r>
        <w:t>The model should output applied power, not only requested power, because the battery may be full, empty, or charge-rate limited.</w:t>
      </w:r>
    </w:p>
    <w:p>
      <w:pPr>
        <w:pStyle w:val="Heading1"/>
      </w:pPr>
      <w:r>
        <w:t>7. Battery state output</w:t>
      </w:r>
    </w:p>
    <w:tbl>
      <w:tblPr>
        <w:tblStyle w:val="TableGrid"/>
        <w:tblW w:type="auto" w:w="0"/>
        <w:jc w:val="center"/>
        <w:tblLook w:firstColumn="1" w:firstRow="1" w:lastColumn="0" w:lastRow="0" w:noHBand="0" w:noVBand="1" w:val="04A0"/>
      </w:tblPr>
      <w:tblGrid>
        <w:gridCol w:w="5184"/>
        <w:gridCol w:w="5184"/>
      </w:tblGrid>
      <w:tr>
        <w:tc>
          <w:tcPr>
            <w:tcW w:type="dxa" w:w="3024"/>
            <w:shd w:fill="D9EAF7"/>
            <w:vAlign w:val="center"/>
          </w:tcPr>
          <w:p>
            <w:r>
              <w:rPr>
                <w:rFonts w:ascii="Arial" w:hAnsi="Arial" w:eastAsia="Arial"/>
                <w:sz w:val="17"/>
              </w:rPr>
            </w:r>
            <w:r>
              <w:rPr>
                <w:rFonts w:ascii="Arial" w:hAnsi="Arial" w:eastAsia="Arial"/>
                <w:b/>
                <w:sz w:val="17"/>
              </w:rPr>
              <w:t>Field</w:t>
            </w:r>
          </w:p>
        </w:tc>
        <w:tc>
          <w:tcPr>
            <w:tcW w:type="dxa" w:w="6912"/>
            <w:shd w:fill="D9EAF7"/>
            <w:vAlign w:val="center"/>
          </w:tcPr>
          <w:p>
            <w:r>
              <w:rPr>
                <w:rFonts w:ascii="Arial" w:hAnsi="Arial" w:eastAsia="Arial"/>
                <w:sz w:val="17"/>
              </w:rPr>
            </w:r>
            <w:r>
              <w:rPr>
                <w:rFonts w:ascii="Arial" w:hAnsi="Arial" w:eastAsia="Arial"/>
                <w:b/>
                <w:sz w:val="17"/>
              </w:rPr>
              <w:t>Meaning</w:t>
            </w:r>
          </w:p>
        </w:tc>
      </w:tr>
      <w:tr>
        <w:tc>
          <w:tcPr>
            <w:tcW w:type="dxa" w:w="3024"/>
            <w:vAlign w:val="top"/>
          </w:tcPr>
          <w:p>
            <w:r>
              <w:rPr>
                <w:rFonts w:ascii="Arial" w:hAnsi="Arial" w:eastAsia="Arial"/>
                <w:sz w:val="17"/>
              </w:rPr>
            </w:r>
            <w:r>
              <w:rPr>
                <w:rFonts w:ascii="Arial" w:hAnsi="Arial" w:eastAsia="Arial"/>
                <w:b w:val="0"/>
                <w:sz w:val="17"/>
              </w:rPr>
              <w:t>timestamp_local / timestamp_utc</w:t>
            </w:r>
          </w:p>
        </w:tc>
        <w:tc>
          <w:tcPr>
            <w:tcW w:type="dxa" w:w="6912"/>
            <w:vAlign w:val="top"/>
          </w:tcPr>
          <w:p>
            <w:r>
              <w:rPr>
                <w:rFonts w:ascii="Arial" w:hAnsi="Arial" w:eastAsia="Arial"/>
                <w:sz w:val="17"/>
              </w:rPr>
            </w:r>
            <w:r>
              <w:rPr>
                <w:rFonts w:ascii="Arial" w:hAnsi="Arial" w:eastAsia="Arial"/>
                <w:b w:val="0"/>
                <w:sz w:val="17"/>
              </w:rPr>
              <w:t>Time of the state point.</w:t>
            </w:r>
          </w:p>
        </w:tc>
      </w:tr>
      <w:tr>
        <w:tc>
          <w:tcPr>
            <w:tcW w:type="dxa" w:w="3024"/>
            <w:vAlign w:val="top"/>
          </w:tcPr>
          <w:p>
            <w:r>
              <w:rPr>
                <w:rFonts w:ascii="Arial" w:hAnsi="Arial" w:eastAsia="Arial"/>
                <w:sz w:val="17"/>
              </w:rPr>
            </w:r>
            <w:r>
              <w:rPr>
                <w:rFonts w:ascii="Arial" w:hAnsi="Arial" w:eastAsia="Arial"/>
                <w:b w:val="0"/>
                <w:sz w:val="17"/>
              </w:rPr>
              <w:t>soc_percent</w:t>
            </w:r>
          </w:p>
        </w:tc>
        <w:tc>
          <w:tcPr>
            <w:tcW w:type="dxa" w:w="6912"/>
            <w:vAlign w:val="top"/>
          </w:tcPr>
          <w:p>
            <w:r>
              <w:rPr>
                <w:rFonts w:ascii="Arial" w:hAnsi="Arial" w:eastAsia="Arial"/>
                <w:sz w:val="17"/>
              </w:rPr>
            </w:r>
            <w:r>
              <w:rPr>
                <w:rFonts w:ascii="Arial" w:hAnsi="Arial" w:eastAsia="Arial"/>
                <w:b w:val="0"/>
                <w:sz w:val="17"/>
              </w:rPr>
              <w:t>State of charge within current usable capacity, 0-100%.</w:t>
            </w:r>
          </w:p>
        </w:tc>
      </w:tr>
      <w:tr>
        <w:tc>
          <w:tcPr>
            <w:tcW w:type="dxa" w:w="3024"/>
            <w:vAlign w:val="top"/>
          </w:tcPr>
          <w:p>
            <w:r>
              <w:rPr>
                <w:rFonts w:ascii="Arial" w:hAnsi="Arial" w:eastAsia="Arial"/>
                <w:sz w:val="17"/>
              </w:rPr>
            </w:r>
            <w:r>
              <w:rPr>
                <w:rFonts w:ascii="Arial" w:hAnsi="Arial" w:eastAsia="Arial"/>
                <w:b w:val="0"/>
                <w:sz w:val="17"/>
              </w:rPr>
              <w:t>soh_percent</w:t>
            </w:r>
          </w:p>
        </w:tc>
        <w:tc>
          <w:tcPr>
            <w:tcW w:type="dxa" w:w="6912"/>
            <w:vAlign w:val="top"/>
          </w:tcPr>
          <w:p>
            <w:r>
              <w:rPr>
                <w:rFonts w:ascii="Arial" w:hAnsi="Arial" w:eastAsia="Arial"/>
                <w:sz w:val="17"/>
              </w:rPr>
            </w:r>
            <w:r>
              <w:rPr>
                <w:rFonts w:ascii="Arial" w:hAnsi="Arial" w:eastAsia="Arial"/>
                <w:b w:val="0"/>
                <w:sz w:val="17"/>
              </w:rPr>
              <w:t>State of health, starts at 100%, degrades linearly by equivalent cycles.</w:t>
            </w:r>
          </w:p>
        </w:tc>
      </w:tr>
      <w:tr>
        <w:tc>
          <w:tcPr>
            <w:tcW w:type="dxa" w:w="3024"/>
            <w:vAlign w:val="top"/>
          </w:tcPr>
          <w:p>
            <w:r>
              <w:rPr>
                <w:rFonts w:ascii="Arial" w:hAnsi="Arial" w:eastAsia="Arial"/>
                <w:sz w:val="17"/>
              </w:rPr>
            </w:r>
            <w:r>
              <w:rPr>
                <w:rFonts w:ascii="Arial" w:hAnsi="Arial" w:eastAsia="Arial"/>
                <w:b w:val="0"/>
                <w:sz w:val="17"/>
              </w:rPr>
              <w:t>energy_wh</w:t>
            </w:r>
          </w:p>
        </w:tc>
        <w:tc>
          <w:tcPr>
            <w:tcW w:type="dxa" w:w="6912"/>
            <w:vAlign w:val="top"/>
          </w:tcPr>
          <w:p>
            <w:r>
              <w:rPr>
                <w:rFonts w:ascii="Arial" w:hAnsi="Arial" w:eastAsia="Arial"/>
                <w:sz w:val="17"/>
              </w:rPr>
            </w:r>
            <w:r>
              <w:rPr>
                <w:rFonts w:ascii="Arial" w:hAnsi="Arial" w:eastAsia="Arial"/>
                <w:b w:val="0"/>
                <w:sz w:val="17"/>
              </w:rPr>
              <w:t>Current stored usable energy.</w:t>
            </w:r>
          </w:p>
        </w:tc>
      </w:tr>
      <w:tr>
        <w:tc>
          <w:tcPr>
            <w:tcW w:type="dxa" w:w="3024"/>
            <w:vAlign w:val="top"/>
          </w:tcPr>
          <w:p>
            <w:r>
              <w:rPr>
                <w:rFonts w:ascii="Arial" w:hAnsi="Arial" w:eastAsia="Arial"/>
                <w:sz w:val="17"/>
              </w:rPr>
            </w:r>
            <w:r>
              <w:rPr>
                <w:rFonts w:ascii="Arial" w:hAnsi="Arial" w:eastAsia="Arial"/>
                <w:b w:val="0"/>
                <w:sz w:val="17"/>
              </w:rPr>
              <w:t>current_usable_capacity_wh</w:t>
            </w:r>
          </w:p>
        </w:tc>
        <w:tc>
          <w:tcPr>
            <w:tcW w:type="dxa" w:w="6912"/>
            <w:vAlign w:val="top"/>
          </w:tcPr>
          <w:p>
            <w:r>
              <w:rPr>
                <w:rFonts w:ascii="Arial" w:hAnsi="Arial" w:eastAsia="Arial"/>
                <w:sz w:val="17"/>
              </w:rPr>
            </w:r>
            <w:r>
              <w:rPr>
                <w:rFonts w:ascii="Arial" w:hAnsi="Arial" w:eastAsia="Arial"/>
                <w:b w:val="0"/>
                <w:sz w:val="17"/>
              </w:rPr>
              <w:t>Operational usable energy after SoH degradation.</w:t>
            </w:r>
          </w:p>
        </w:tc>
      </w:tr>
      <w:tr>
        <w:tc>
          <w:tcPr>
            <w:tcW w:type="dxa" w:w="3024"/>
            <w:vAlign w:val="top"/>
          </w:tcPr>
          <w:p>
            <w:r>
              <w:rPr>
                <w:rFonts w:ascii="Arial" w:hAnsi="Arial" w:eastAsia="Arial"/>
                <w:sz w:val="17"/>
              </w:rPr>
            </w:r>
            <w:r>
              <w:rPr>
                <w:rFonts w:ascii="Arial" w:hAnsi="Arial" w:eastAsia="Arial"/>
                <w:b w:val="0"/>
                <w:sz w:val="17"/>
              </w:rPr>
              <w:t>nominal_energy_wh</w:t>
            </w:r>
          </w:p>
        </w:tc>
        <w:tc>
          <w:tcPr>
            <w:tcW w:type="dxa" w:w="6912"/>
            <w:vAlign w:val="top"/>
          </w:tcPr>
          <w:p>
            <w:r>
              <w:rPr>
                <w:rFonts w:ascii="Arial" w:hAnsi="Arial" w:eastAsia="Arial"/>
                <w:sz w:val="17"/>
              </w:rPr>
            </w:r>
            <w:r>
              <w:rPr>
                <w:rFonts w:ascii="Arial" w:hAnsi="Arial" w:eastAsia="Arial"/>
                <w:b w:val="0"/>
                <w:sz w:val="17"/>
              </w:rPr>
              <w:t>nominal_voltage_v * capacity_ah.</w:t>
            </w:r>
          </w:p>
        </w:tc>
      </w:tr>
      <w:tr>
        <w:tc>
          <w:tcPr>
            <w:tcW w:type="dxa" w:w="3024"/>
            <w:vAlign w:val="top"/>
          </w:tcPr>
          <w:p>
            <w:r>
              <w:rPr>
                <w:rFonts w:ascii="Arial" w:hAnsi="Arial" w:eastAsia="Arial"/>
                <w:sz w:val="17"/>
              </w:rPr>
            </w:r>
            <w:r>
              <w:rPr>
                <w:rFonts w:ascii="Arial" w:hAnsi="Arial" w:eastAsia="Arial"/>
                <w:b w:val="0"/>
                <w:sz w:val="17"/>
              </w:rPr>
              <w:t>voltage_v</w:t>
            </w:r>
          </w:p>
        </w:tc>
        <w:tc>
          <w:tcPr>
            <w:tcW w:type="dxa" w:w="6912"/>
            <w:vAlign w:val="top"/>
          </w:tcPr>
          <w:p>
            <w:r>
              <w:rPr>
                <w:rFonts w:ascii="Arial" w:hAnsi="Arial" w:eastAsia="Arial"/>
                <w:sz w:val="17"/>
              </w:rPr>
            </w:r>
            <w:r>
              <w:rPr>
                <w:rFonts w:ascii="Arial" w:hAnsi="Arial" w:eastAsia="Arial"/>
                <w:b w:val="0"/>
                <w:sz w:val="17"/>
              </w:rPr>
              <w:t>Approximate visual voltage from chemistry curve and SoC. Not used to compute SoC.</w:t>
            </w:r>
          </w:p>
        </w:tc>
      </w:tr>
      <w:tr>
        <w:tc>
          <w:tcPr>
            <w:tcW w:type="dxa" w:w="3024"/>
            <w:vAlign w:val="top"/>
          </w:tcPr>
          <w:p>
            <w:r>
              <w:rPr>
                <w:rFonts w:ascii="Arial" w:hAnsi="Arial" w:eastAsia="Arial"/>
                <w:sz w:val="17"/>
              </w:rPr>
            </w:r>
            <w:r>
              <w:rPr>
                <w:rFonts w:ascii="Arial" w:hAnsi="Arial" w:eastAsia="Arial"/>
                <w:b w:val="0"/>
                <w:sz w:val="17"/>
              </w:rPr>
              <w:t>requested_power_w</w:t>
            </w:r>
          </w:p>
        </w:tc>
        <w:tc>
          <w:tcPr>
            <w:tcW w:type="dxa" w:w="6912"/>
            <w:vAlign w:val="top"/>
          </w:tcPr>
          <w:p>
            <w:r>
              <w:rPr>
                <w:rFonts w:ascii="Arial" w:hAnsi="Arial" w:eastAsia="Arial"/>
                <w:sz w:val="17"/>
              </w:rPr>
            </w:r>
            <w:r>
              <w:rPr>
                <w:rFonts w:ascii="Arial" w:hAnsi="Arial" w:eastAsia="Arial"/>
                <w:b w:val="0"/>
                <w:sz w:val="17"/>
              </w:rPr>
              <w:t>Input requested net battery power. Positive charge, negative discharge.</w:t>
            </w:r>
          </w:p>
        </w:tc>
      </w:tr>
      <w:tr>
        <w:tc>
          <w:tcPr>
            <w:tcW w:type="dxa" w:w="3024"/>
            <w:vAlign w:val="top"/>
          </w:tcPr>
          <w:p>
            <w:r>
              <w:rPr>
                <w:rFonts w:ascii="Arial" w:hAnsi="Arial" w:eastAsia="Arial"/>
                <w:sz w:val="17"/>
              </w:rPr>
            </w:r>
            <w:r>
              <w:rPr>
                <w:rFonts w:ascii="Arial" w:hAnsi="Arial" w:eastAsia="Arial"/>
                <w:b w:val="0"/>
                <w:sz w:val="17"/>
              </w:rPr>
              <w:t>applied_power_w</w:t>
            </w:r>
          </w:p>
        </w:tc>
        <w:tc>
          <w:tcPr>
            <w:tcW w:type="dxa" w:w="6912"/>
            <w:vAlign w:val="top"/>
          </w:tcPr>
          <w:p>
            <w:r>
              <w:rPr>
                <w:rFonts w:ascii="Arial" w:hAnsi="Arial" w:eastAsia="Arial"/>
                <w:sz w:val="17"/>
              </w:rPr>
            </w:r>
            <w:r>
              <w:rPr>
                <w:rFonts w:ascii="Arial" w:hAnsi="Arial" w:eastAsia="Arial"/>
                <w:b w:val="0"/>
                <w:sz w:val="17"/>
              </w:rPr>
              <w:t>Actually applied power after battery limits. Positive charge, negative discharge.</w:t>
            </w:r>
          </w:p>
        </w:tc>
      </w:tr>
      <w:tr>
        <w:tc>
          <w:tcPr>
            <w:tcW w:type="dxa" w:w="3024"/>
            <w:vAlign w:val="top"/>
          </w:tcPr>
          <w:p>
            <w:r>
              <w:rPr>
                <w:rFonts w:ascii="Arial" w:hAnsi="Arial" w:eastAsia="Arial"/>
                <w:sz w:val="17"/>
              </w:rPr>
            </w:r>
            <w:r>
              <w:rPr>
                <w:rFonts w:ascii="Arial" w:hAnsi="Arial" w:eastAsia="Arial"/>
                <w:b w:val="0"/>
                <w:sz w:val="17"/>
              </w:rPr>
              <w:t>status</w:t>
            </w:r>
          </w:p>
        </w:tc>
        <w:tc>
          <w:tcPr>
            <w:tcW w:type="dxa" w:w="6912"/>
            <w:vAlign w:val="top"/>
          </w:tcPr>
          <w:p>
            <w:r>
              <w:rPr>
                <w:rFonts w:ascii="Arial" w:hAnsi="Arial" w:eastAsia="Arial"/>
                <w:sz w:val="17"/>
              </w:rPr>
            </w:r>
            <w:r>
              <w:rPr>
                <w:rFonts w:ascii="Arial" w:hAnsi="Arial" w:eastAsia="Arial"/>
                <w:b w:val="0"/>
                <w:sz w:val="17"/>
              </w:rPr>
              <w:t>idle, charging, discharging, full, empty, charge_limited, discharge_limited.</w:t>
            </w:r>
          </w:p>
        </w:tc>
      </w:tr>
      <w:tr>
        <w:tc>
          <w:tcPr>
            <w:tcW w:type="dxa" w:w="3024"/>
            <w:vAlign w:val="top"/>
          </w:tcPr>
          <w:p>
            <w:r>
              <w:rPr>
                <w:rFonts w:ascii="Arial" w:hAnsi="Arial" w:eastAsia="Arial"/>
                <w:sz w:val="17"/>
              </w:rPr>
            </w:r>
            <w:r>
              <w:rPr>
                <w:rFonts w:ascii="Arial" w:hAnsi="Arial" w:eastAsia="Arial"/>
                <w:b w:val="0"/>
                <w:sz w:val="17"/>
              </w:rPr>
              <w:t>equivalent_cycles_today</w:t>
            </w:r>
          </w:p>
        </w:tc>
        <w:tc>
          <w:tcPr>
            <w:tcW w:type="dxa" w:w="6912"/>
            <w:vAlign w:val="top"/>
          </w:tcPr>
          <w:p>
            <w:r>
              <w:rPr>
                <w:rFonts w:ascii="Arial" w:hAnsi="Arial" w:eastAsia="Arial"/>
                <w:sz w:val="17"/>
              </w:rPr>
            </w:r>
            <w:r>
              <w:rPr>
                <w:rFonts w:ascii="Arial" w:hAnsi="Arial" w:eastAsia="Arial"/>
                <w:b w:val="0"/>
                <w:sz w:val="17"/>
              </w:rPr>
              <w:t>Accumulated daily discharged energy divided by current usable capacity.</w:t>
            </w:r>
          </w:p>
        </w:tc>
      </w:tr>
      <w:tr>
        <w:tc>
          <w:tcPr>
            <w:tcW w:type="dxa" w:w="3024"/>
            <w:vAlign w:val="top"/>
          </w:tcPr>
          <w:p>
            <w:r>
              <w:rPr>
                <w:rFonts w:ascii="Arial" w:hAnsi="Arial" w:eastAsia="Arial"/>
                <w:sz w:val="17"/>
              </w:rPr>
            </w:r>
            <w:r>
              <w:rPr>
                <w:rFonts w:ascii="Arial" w:hAnsi="Arial" w:eastAsia="Arial"/>
                <w:b w:val="0"/>
                <w:sz w:val="17"/>
              </w:rPr>
              <w:t>total_equivalent_cycles</w:t>
            </w:r>
          </w:p>
        </w:tc>
        <w:tc>
          <w:tcPr>
            <w:tcW w:type="dxa" w:w="6912"/>
            <w:vAlign w:val="top"/>
          </w:tcPr>
          <w:p>
            <w:r>
              <w:rPr>
                <w:rFonts w:ascii="Arial" w:hAnsi="Arial" w:eastAsia="Arial"/>
                <w:sz w:val="17"/>
              </w:rPr>
            </w:r>
            <w:r>
              <w:rPr>
                <w:rFonts w:ascii="Arial" w:hAnsi="Arial" w:eastAsia="Arial"/>
                <w:b w:val="0"/>
                <w:sz w:val="17"/>
              </w:rPr>
              <w:t>Lifetime equivalent full cycles in the model.</w:t>
            </w:r>
          </w:p>
        </w:tc>
      </w:tr>
    </w:tbl>
    <w:p>
      <w:r>
        <w:br w:type="page"/>
      </w:r>
    </w:p>
    <w:p>
      <w:pPr>
        <w:pStyle w:val="Heading1"/>
      </w:pPr>
      <w:r>
        <w:t>8. Cycle counting and degradation</w:t>
      </w:r>
    </w:p>
    <w:p>
      <w:r>
        <w:t>Cycle degradation should be linear and equivalent-cycle based. This is a simplification: real cycle life depends on temperature, current, SoC range, and exact DoD [3]. For this project, those effects are intentionally ignored.</w:t>
      </w:r>
    </w:p>
    <w:p>
      <w:pPr>
        <w:spacing w:before="60" w:after="120"/>
        <w:ind w:left="360"/>
        <w:shd w:fill="F2F2F2"/>
      </w:pPr>
      <w:r>
        <w:rPr>
          <w:rFonts w:ascii="Consolas" w:hAnsi="Consolas" w:eastAsia="Consolas"/>
          <w:sz w:val="16"/>
        </w:rPr>
        <w:t>discharged_wh_today += discharge_energy_from_battery_wh</w:t>
        <w:br/>
        <w:t>equivalent_cycles_today = discharged_wh_today / current_usable_capacity_wh</w:t>
        <w:br/>
        <w:br/>
        <w:t>degradation_per_equivalent_cycle_percent = 20.0 / reference_cycle_life_to_80_percent</w:t>
        <w:br/>
        <w:t>soh_loss_today_percent = equivalent_cycles_today * degradation_per_equivalent_cycle_percent</w:t>
        <w:br/>
        <w:t>soh_percent -= soh_loss_today_percent</w:t>
      </w:r>
    </w:p>
    <w:p>
      <w:r>
        <w:t>Daily degradation rule:</w:t>
      </w:r>
    </w:p>
    <w:p>
      <w:pPr>
        <w:pStyle w:val="ListBullet"/>
      </w:pPr>
      <w:r>
        <w:t>Apply degradation at the end of each local day.</w:t>
      </w:r>
    </w:p>
    <w:p>
      <w:pPr>
        <w:pStyle w:val="ListBullet"/>
      </w:pPr>
      <w:r>
        <w:t>After degradation, recompute current_usable_capacity_wh.</w:t>
      </w:r>
    </w:p>
    <w:p>
      <w:pPr>
        <w:pStyle w:val="ListBullet"/>
      </w:pPr>
      <w:r>
        <w:t>Clamp energy_wh to the new current_usable_capacity_wh if capacity decreased.</w:t>
      </w:r>
    </w:p>
    <w:p>
      <w:pPr>
        <w:pStyle w:val="ListBullet"/>
      </w:pPr>
      <w:r>
        <w:t>Reset equivalent_cycles_today and discharged_wh_today for the next local day.</w:t>
      </w:r>
    </w:p>
    <w:p>
      <w:r>
        <w:t>Example: two 40% discharge-and-recharge events in one day equal 0.8 equivalent cycles.</w:t>
      </w:r>
    </w:p>
    <w:p>
      <w:r>
        <w:br w:type="page"/>
      </w:r>
    </w:p>
    <w:p>
      <w:pPr>
        <w:pStyle w:val="Heading1"/>
      </w:pPr>
      <w:r>
        <w:t>9. Voltage display model</w:t>
      </w:r>
    </w:p>
    <w:p>
      <w:r>
        <w:t>Voltage is a visual/live-feed estimate only. The battery SoC must be calculated from Wh integration, not from voltage. This is especially important for LiFePO4, whose discharge curve is relatively flat and makes voltage a weak SoC indicator [4].</w:t>
      </w:r>
    </w:p>
    <w:p>
      <w:pPr>
        <w:spacing w:before="60" w:after="120"/>
        <w:ind w:left="360"/>
        <w:shd w:fill="F2F2F2"/>
      </w:pPr>
      <w:r>
        <w:rPr>
          <w:rFonts w:ascii="Consolas" w:hAnsi="Consolas" w:eastAsia="Consolas"/>
          <w:sz w:val="16"/>
        </w:rPr>
        <w:t>voltage_v = nominal_voltage_v * interpolate_voltage_factor(chemistry, soc_percent)</w:t>
      </w:r>
    </w:p>
    <w:p>
      <w:r>
        <w:t>Recommended approximate normalized voltage-factor curves: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shd w:fill="D9EAF7"/>
            <w:vAlign w:val="center"/>
          </w:tcPr>
          <w:p>
            <w:r>
              <w:rPr>
                <w:rFonts w:ascii="Arial" w:hAnsi="Arial" w:eastAsia="Arial"/>
                <w:sz w:val="17"/>
              </w:rPr>
            </w:r>
            <w:r>
              <w:rPr>
                <w:rFonts w:ascii="Arial" w:hAnsi="Arial" w:eastAsia="Arial"/>
                <w:b/>
                <w:sz w:val="17"/>
              </w:rPr>
              <w:t>SoC %</w:t>
            </w:r>
          </w:p>
        </w:tc>
        <w:tc>
          <w:tcPr>
            <w:tcW w:type="dxa" w:w="1440"/>
            <w:shd w:fill="D9EAF7"/>
            <w:vAlign w:val="center"/>
          </w:tcPr>
          <w:p>
            <w:r>
              <w:rPr>
                <w:rFonts w:ascii="Arial" w:hAnsi="Arial" w:eastAsia="Arial"/>
                <w:sz w:val="17"/>
              </w:rPr>
            </w:r>
            <w:r>
              <w:rPr>
                <w:rFonts w:ascii="Arial" w:hAnsi="Arial" w:eastAsia="Arial"/>
                <w:b/>
                <w:sz w:val="17"/>
              </w:rPr>
              <w:t>lead_acid</w:t>
            </w:r>
          </w:p>
        </w:tc>
        <w:tc>
          <w:tcPr>
            <w:tcW w:type="dxa" w:w="1440"/>
            <w:shd w:fill="D9EAF7"/>
            <w:vAlign w:val="center"/>
          </w:tcPr>
          <w:p>
            <w:r>
              <w:rPr>
                <w:rFonts w:ascii="Arial" w:hAnsi="Arial" w:eastAsia="Arial"/>
                <w:sz w:val="17"/>
              </w:rPr>
            </w:r>
            <w:r>
              <w:rPr>
                <w:rFonts w:ascii="Arial" w:hAnsi="Arial" w:eastAsia="Arial"/>
                <w:b/>
                <w:sz w:val="17"/>
              </w:rPr>
              <w:t>lifepo4</w:t>
            </w:r>
          </w:p>
        </w:tc>
        <w:tc>
          <w:tcPr>
            <w:tcW w:type="dxa" w:w="1440"/>
            <w:shd w:fill="D9EAF7"/>
            <w:vAlign w:val="center"/>
          </w:tcPr>
          <w:p>
            <w:r>
              <w:rPr>
                <w:rFonts w:ascii="Arial" w:hAnsi="Arial" w:eastAsia="Arial"/>
                <w:sz w:val="17"/>
              </w:rPr>
            </w:r>
            <w:r>
              <w:rPr>
                <w:rFonts w:ascii="Arial" w:hAnsi="Arial" w:eastAsia="Arial"/>
                <w:b/>
                <w:sz w:val="17"/>
              </w:rPr>
              <w:t>li_ion</w:t>
            </w:r>
          </w:p>
        </w:tc>
      </w:tr>
      <w:tr>
        <w:tc>
          <w:tcPr>
            <w:tcW w:type="dxa" w:w="1008"/>
            <w:vAlign w:val="top"/>
          </w:tcPr>
          <w:p>
            <w:r>
              <w:rPr>
                <w:rFonts w:ascii="Arial" w:hAnsi="Arial" w:eastAsia="Arial"/>
                <w:sz w:val="17"/>
              </w:rPr>
            </w:r>
            <w:r>
              <w:rPr>
                <w:rFonts w:ascii="Arial" w:hAnsi="Arial" w:eastAsia="Arial"/>
                <w:b w:val="0"/>
                <w:sz w:val="17"/>
              </w:rPr>
              <w:t>0</w:t>
            </w:r>
          </w:p>
        </w:tc>
        <w:tc>
          <w:tcPr>
            <w:tcW w:type="dxa" w:w="1440"/>
            <w:vAlign w:val="top"/>
          </w:tcPr>
          <w:p>
            <w:r>
              <w:rPr>
                <w:rFonts w:ascii="Arial" w:hAnsi="Arial" w:eastAsia="Arial"/>
                <w:sz w:val="17"/>
              </w:rPr>
            </w:r>
            <w:r>
              <w:rPr>
                <w:rFonts w:ascii="Arial" w:hAnsi="Arial" w:eastAsia="Arial"/>
                <w:b w:val="0"/>
                <w:sz w:val="17"/>
              </w:rPr>
              <w:t>0.90</w:t>
            </w:r>
          </w:p>
        </w:tc>
        <w:tc>
          <w:tcPr>
            <w:tcW w:type="dxa" w:w="1440"/>
            <w:vAlign w:val="top"/>
          </w:tcPr>
          <w:p>
            <w:r>
              <w:rPr>
                <w:rFonts w:ascii="Arial" w:hAnsi="Arial" w:eastAsia="Arial"/>
                <w:sz w:val="17"/>
              </w:rPr>
            </w:r>
            <w:r>
              <w:rPr>
                <w:rFonts w:ascii="Arial" w:hAnsi="Arial" w:eastAsia="Arial"/>
                <w:b w:val="0"/>
                <w:sz w:val="17"/>
              </w:rPr>
              <w:t>0.88</w:t>
            </w:r>
          </w:p>
        </w:tc>
        <w:tc>
          <w:tcPr>
            <w:tcW w:type="dxa" w:w="1440"/>
            <w:vAlign w:val="top"/>
          </w:tcPr>
          <w:p>
            <w:r>
              <w:rPr>
                <w:rFonts w:ascii="Arial" w:hAnsi="Arial" w:eastAsia="Arial"/>
                <w:sz w:val="17"/>
              </w:rPr>
            </w:r>
            <w:r>
              <w:rPr>
                <w:rFonts w:ascii="Arial" w:hAnsi="Arial" w:eastAsia="Arial"/>
                <w:b w:val="0"/>
                <w:sz w:val="17"/>
              </w:rPr>
              <w:t>0.81</w:t>
            </w:r>
          </w:p>
        </w:tc>
      </w:tr>
      <w:tr>
        <w:tc>
          <w:tcPr>
            <w:tcW w:type="dxa" w:w="1008"/>
            <w:vAlign w:val="top"/>
          </w:tcPr>
          <w:p>
            <w:r>
              <w:rPr>
                <w:rFonts w:ascii="Arial" w:hAnsi="Arial" w:eastAsia="Arial"/>
                <w:sz w:val="17"/>
              </w:rPr>
            </w:r>
            <w:r>
              <w:rPr>
                <w:rFonts w:ascii="Arial" w:hAnsi="Arial" w:eastAsia="Arial"/>
                <w:b w:val="0"/>
                <w:sz w:val="17"/>
              </w:rPr>
              <w:t>10</w:t>
            </w:r>
          </w:p>
        </w:tc>
        <w:tc>
          <w:tcPr>
            <w:tcW w:type="dxa" w:w="1440"/>
            <w:vAlign w:val="top"/>
          </w:tcPr>
          <w:p>
            <w:r>
              <w:rPr>
                <w:rFonts w:ascii="Arial" w:hAnsi="Arial" w:eastAsia="Arial"/>
                <w:sz w:val="17"/>
              </w:rPr>
            </w:r>
            <w:r>
              <w:rPr>
                <w:rFonts w:ascii="Arial" w:hAnsi="Arial" w:eastAsia="Arial"/>
                <w:b w:val="0"/>
                <w:sz w:val="17"/>
              </w:rPr>
              <w:t>0.92</w:t>
            </w:r>
          </w:p>
        </w:tc>
        <w:tc>
          <w:tcPr>
            <w:tcW w:type="dxa" w:w="1440"/>
            <w:vAlign w:val="top"/>
          </w:tcPr>
          <w:p>
            <w:r>
              <w:rPr>
                <w:rFonts w:ascii="Arial" w:hAnsi="Arial" w:eastAsia="Arial"/>
                <w:sz w:val="17"/>
              </w:rPr>
            </w:r>
            <w:r>
              <w:rPr>
                <w:rFonts w:ascii="Arial" w:hAnsi="Arial" w:eastAsia="Arial"/>
                <w:b w:val="0"/>
                <w:sz w:val="17"/>
              </w:rPr>
              <w:t>0.94</w:t>
            </w:r>
          </w:p>
        </w:tc>
        <w:tc>
          <w:tcPr>
            <w:tcW w:type="dxa" w:w="1440"/>
            <w:vAlign w:val="top"/>
          </w:tcPr>
          <w:p>
            <w:r>
              <w:rPr>
                <w:rFonts w:ascii="Arial" w:hAnsi="Arial" w:eastAsia="Arial"/>
                <w:sz w:val="17"/>
              </w:rPr>
            </w:r>
            <w:r>
              <w:rPr>
                <w:rFonts w:ascii="Arial" w:hAnsi="Arial" w:eastAsia="Arial"/>
                <w:b w:val="0"/>
                <w:sz w:val="17"/>
              </w:rPr>
              <w:t>0.88</w:t>
            </w:r>
          </w:p>
        </w:tc>
      </w:tr>
      <w:tr>
        <w:tc>
          <w:tcPr>
            <w:tcW w:type="dxa" w:w="1008"/>
            <w:vAlign w:val="top"/>
          </w:tcPr>
          <w:p>
            <w:r>
              <w:rPr>
                <w:rFonts w:ascii="Arial" w:hAnsi="Arial" w:eastAsia="Arial"/>
                <w:sz w:val="17"/>
              </w:rPr>
            </w:r>
            <w:r>
              <w:rPr>
                <w:rFonts w:ascii="Arial" w:hAnsi="Arial" w:eastAsia="Arial"/>
                <w:b w:val="0"/>
                <w:sz w:val="17"/>
              </w:rPr>
              <w:t>20</w:t>
            </w:r>
          </w:p>
        </w:tc>
        <w:tc>
          <w:tcPr>
            <w:tcW w:type="dxa" w:w="1440"/>
            <w:vAlign w:val="top"/>
          </w:tcPr>
          <w:p>
            <w:r>
              <w:rPr>
                <w:rFonts w:ascii="Arial" w:hAnsi="Arial" w:eastAsia="Arial"/>
                <w:sz w:val="17"/>
              </w:rPr>
            </w:r>
            <w:r>
              <w:rPr>
                <w:rFonts w:ascii="Arial" w:hAnsi="Arial" w:eastAsia="Arial"/>
                <w:b w:val="0"/>
                <w:sz w:val="17"/>
              </w:rPr>
              <w:t>0.94</w:t>
            </w:r>
          </w:p>
        </w:tc>
        <w:tc>
          <w:tcPr>
            <w:tcW w:type="dxa" w:w="1440"/>
            <w:vAlign w:val="top"/>
          </w:tcPr>
          <w:p>
            <w:r>
              <w:rPr>
                <w:rFonts w:ascii="Arial" w:hAnsi="Arial" w:eastAsia="Arial"/>
                <w:sz w:val="17"/>
              </w:rPr>
            </w:r>
            <w:r>
              <w:rPr>
                <w:rFonts w:ascii="Arial" w:hAnsi="Arial" w:eastAsia="Arial"/>
                <w:b w:val="0"/>
                <w:sz w:val="17"/>
              </w:rPr>
              <w:t>0.975</w:t>
            </w:r>
          </w:p>
        </w:tc>
        <w:tc>
          <w:tcPr>
            <w:tcW w:type="dxa" w:w="1440"/>
            <w:vAlign w:val="top"/>
          </w:tcPr>
          <w:p>
            <w:r>
              <w:rPr>
                <w:rFonts w:ascii="Arial" w:hAnsi="Arial" w:eastAsia="Arial"/>
                <w:sz w:val="17"/>
              </w:rPr>
            </w:r>
            <w:r>
              <w:rPr>
                <w:rFonts w:ascii="Arial" w:hAnsi="Arial" w:eastAsia="Arial"/>
                <w:b w:val="0"/>
                <w:sz w:val="17"/>
              </w:rPr>
              <w:t>0.92</w:t>
            </w:r>
          </w:p>
        </w:tc>
      </w:tr>
      <w:tr>
        <w:tc>
          <w:tcPr>
            <w:tcW w:type="dxa" w:w="1008"/>
            <w:vAlign w:val="top"/>
          </w:tcPr>
          <w:p>
            <w:r>
              <w:rPr>
                <w:rFonts w:ascii="Arial" w:hAnsi="Arial" w:eastAsia="Arial"/>
                <w:sz w:val="17"/>
              </w:rPr>
            </w:r>
            <w:r>
              <w:rPr>
                <w:rFonts w:ascii="Arial" w:hAnsi="Arial" w:eastAsia="Arial"/>
                <w:b w:val="0"/>
                <w:sz w:val="17"/>
              </w:rPr>
              <w:t>30</w:t>
            </w:r>
          </w:p>
        </w:tc>
        <w:tc>
          <w:tcPr>
            <w:tcW w:type="dxa" w:w="1440"/>
            <w:vAlign w:val="top"/>
          </w:tcPr>
          <w:p>
            <w:r>
              <w:rPr>
                <w:rFonts w:ascii="Arial" w:hAnsi="Arial" w:eastAsia="Arial"/>
                <w:sz w:val="17"/>
              </w:rPr>
            </w:r>
            <w:r>
              <w:rPr>
                <w:rFonts w:ascii="Arial" w:hAnsi="Arial" w:eastAsia="Arial"/>
                <w:b w:val="0"/>
                <w:sz w:val="17"/>
              </w:rPr>
              <w:t>0.965</w:t>
            </w:r>
          </w:p>
        </w:tc>
        <w:tc>
          <w:tcPr>
            <w:tcW w:type="dxa" w:w="1440"/>
            <w:vAlign w:val="top"/>
          </w:tcPr>
          <w:p>
            <w:r>
              <w:rPr>
                <w:rFonts w:ascii="Arial" w:hAnsi="Arial" w:eastAsia="Arial"/>
                <w:sz w:val="17"/>
              </w:rPr>
            </w:r>
            <w:r>
              <w:rPr>
                <w:rFonts w:ascii="Arial" w:hAnsi="Arial" w:eastAsia="Arial"/>
                <w:b w:val="0"/>
                <w:sz w:val="17"/>
              </w:rPr>
              <w:t>0.99</w:t>
            </w:r>
          </w:p>
        </w:tc>
        <w:tc>
          <w:tcPr>
            <w:tcW w:type="dxa" w:w="1440"/>
            <w:vAlign w:val="top"/>
          </w:tcPr>
          <w:p>
            <w:r>
              <w:rPr>
                <w:rFonts w:ascii="Arial" w:hAnsi="Arial" w:eastAsia="Arial"/>
                <w:sz w:val="17"/>
              </w:rPr>
            </w:r>
            <w:r>
              <w:rPr>
                <w:rFonts w:ascii="Arial" w:hAnsi="Arial" w:eastAsia="Arial"/>
                <w:b w:val="0"/>
                <w:sz w:val="17"/>
              </w:rPr>
              <w:t>0.96</w:t>
            </w:r>
          </w:p>
        </w:tc>
      </w:tr>
      <w:tr>
        <w:tc>
          <w:tcPr>
            <w:tcW w:type="dxa" w:w="1008"/>
            <w:vAlign w:val="top"/>
          </w:tcPr>
          <w:p>
            <w:r>
              <w:rPr>
                <w:rFonts w:ascii="Arial" w:hAnsi="Arial" w:eastAsia="Arial"/>
                <w:sz w:val="17"/>
              </w:rPr>
            </w:r>
            <w:r>
              <w:rPr>
                <w:rFonts w:ascii="Arial" w:hAnsi="Arial" w:eastAsia="Arial"/>
                <w:b w:val="0"/>
                <w:sz w:val="17"/>
              </w:rPr>
              <w:t>40</w:t>
            </w:r>
          </w:p>
        </w:tc>
        <w:tc>
          <w:tcPr>
            <w:tcW w:type="dxa" w:w="1440"/>
            <w:vAlign w:val="top"/>
          </w:tcPr>
          <w:p>
            <w:r>
              <w:rPr>
                <w:rFonts w:ascii="Arial" w:hAnsi="Arial" w:eastAsia="Arial"/>
                <w:sz w:val="17"/>
              </w:rPr>
            </w:r>
            <w:r>
              <w:rPr>
                <w:rFonts w:ascii="Arial" w:hAnsi="Arial" w:eastAsia="Arial"/>
                <w:b w:val="0"/>
                <w:sz w:val="17"/>
              </w:rPr>
              <w:t>0.98</w:t>
            </w:r>
          </w:p>
        </w:tc>
        <w:tc>
          <w:tcPr>
            <w:tcW w:type="dxa" w:w="1440"/>
            <w:vAlign w:val="top"/>
          </w:tcPr>
          <w:p>
            <w:r>
              <w:rPr>
                <w:rFonts w:ascii="Arial" w:hAnsi="Arial" w:eastAsia="Arial"/>
                <w:sz w:val="17"/>
              </w:rPr>
            </w:r>
            <w:r>
              <w:rPr>
                <w:rFonts w:ascii="Arial" w:hAnsi="Arial" w:eastAsia="Arial"/>
                <w:b w:val="0"/>
                <w:sz w:val="17"/>
              </w:rPr>
              <w:t>0.995</w:t>
            </w:r>
          </w:p>
        </w:tc>
        <w:tc>
          <w:tcPr>
            <w:tcW w:type="dxa" w:w="1440"/>
            <w:vAlign w:val="top"/>
          </w:tcPr>
          <w:p>
            <w:r>
              <w:rPr>
                <w:rFonts w:ascii="Arial" w:hAnsi="Arial" w:eastAsia="Arial"/>
                <w:sz w:val="17"/>
              </w:rPr>
            </w:r>
            <w:r>
              <w:rPr>
                <w:rFonts w:ascii="Arial" w:hAnsi="Arial" w:eastAsia="Arial"/>
                <w:b w:val="0"/>
                <w:sz w:val="17"/>
              </w:rPr>
              <w:t>0.98</w:t>
            </w:r>
          </w:p>
        </w:tc>
      </w:tr>
      <w:tr>
        <w:tc>
          <w:tcPr>
            <w:tcW w:type="dxa" w:w="1008"/>
            <w:vAlign w:val="top"/>
          </w:tcPr>
          <w:p>
            <w:r>
              <w:rPr>
                <w:rFonts w:ascii="Arial" w:hAnsi="Arial" w:eastAsia="Arial"/>
                <w:sz w:val="17"/>
              </w:rPr>
            </w:r>
            <w:r>
              <w:rPr>
                <w:rFonts w:ascii="Arial" w:hAnsi="Arial" w:eastAsia="Arial"/>
                <w:b w:val="0"/>
                <w:sz w:val="17"/>
              </w:rPr>
              <w:t>50</w:t>
            </w:r>
          </w:p>
        </w:tc>
        <w:tc>
          <w:tcPr>
            <w:tcW w:type="dxa" w:w="1440"/>
            <w:vAlign w:val="top"/>
          </w:tcPr>
          <w:p>
            <w:r>
              <w:rPr>
                <w:rFonts w:ascii="Arial" w:hAnsi="Arial" w:eastAsia="Arial"/>
                <w:sz w:val="17"/>
              </w:rPr>
            </w:r>
            <w:r>
              <w:rPr>
                <w:rFonts w:ascii="Arial" w:hAnsi="Arial" w:eastAsia="Arial"/>
                <w:b w:val="0"/>
                <w:sz w:val="17"/>
              </w:rPr>
              <w:t>1.00</w:t>
            </w:r>
          </w:p>
        </w:tc>
        <w:tc>
          <w:tcPr>
            <w:tcW w:type="dxa" w:w="1440"/>
            <w:vAlign w:val="top"/>
          </w:tcPr>
          <w:p>
            <w:r>
              <w:rPr>
                <w:rFonts w:ascii="Arial" w:hAnsi="Arial" w:eastAsia="Arial"/>
                <w:sz w:val="17"/>
              </w:rPr>
            </w:r>
            <w:r>
              <w:rPr>
                <w:rFonts w:ascii="Arial" w:hAnsi="Arial" w:eastAsia="Arial"/>
                <w:b w:val="0"/>
                <w:sz w:val="17"/>
              </w:rPr>
              <w:t>1.00</w:t>
            </w:r>
          </w:p>
        </w:tc>
        <w:tc>
          <w:tcPr>
            <w:tcW w:type="dxa" w:w="1440"/>
            <w:vAlign w:val="top"/>
          </w:tcPr>
          <w:p>
            <w:r>
              <w:rPr>
                <w:rFonts w:ascii="Arial" w:hAnsi="Arial" w:eastAsia="Arial"/>
                <w:sz w:val="17"/>
              </w:rPr>
            </w:r>
            <w:r>
              <w:rPr>
                <w:rFonts w:ascii="Arial" w:hAnsi="Arial" w:eastAsia="Arial"/>
                <w:b w:val="0"/>
                <w:sz w:val="17"/>
              </w:rPr>
              <w:t>1.00</w:t>
            </w:r>
          </w:p>
        </w:tc>
      </w:tr>
      <w:tr>
        <w:tc>
          <w:tcPr>
            <w:tcW w:type="dxa" w:w="1008"/>
            <w:vAlign w:val="top"/>
          </w:tcPr>
          <w:p>
            <w:r>
              <w:rPr>
                <w:rFonts w:ascii="Arial" w:hAnsi="Arial" w:eastAsia="Arial"/>
                <w:sz w:val="17"/>
              </w:rPr>
            </w:r>
            <w:r>
              <w:rPr>
                <w:rFonts w:ascii="Arial" w:hAnsi="Arial" w:eastAsia="Arial"/>
                <w:b w:val="0"/>
                <w:sz w:val="17"/>
              </w:rPr>
              <w:t>60</w:t>
            </w:r>
          </w:p>
        </w:tc>
        <w:tc>
          <w:tcPr>
            <w:tcW w:type="dxa" w:w="1440"/>
            <w:vAlign w:val="top"/>
          </w:tcPr>
          <w:p>
            <w:r>
              <w:rPr>
                <w:rFonts w:ascii="Arial" w:hAnsi="Arial" w:eastAsia="Arial"/>
                <w:sz w:val="17"/>
              </w:rPr>
            </w:r>
            <w:r>
              <w:rPr>
                <w:rFonts w:ascii="Arial" w:hAnsi="Arial" w:eastAsia="Arial"/>
                <w:b w:val="0"/>
                <w:sz w:val="17"/>
              </w:rPr>
              <w:t>1.02</w:t>
            </w:r>
          </w:p>
        </w:tc>
        <w:tc>
          <w:tcPr>
            <w:tcW w:type="dxa" w:w="1440"/>
            <w:vAlign w:val="top"/>
          </w:tcPr>
          <w:p>
            <w:r>
              <w:rPr>
                <w:rFonts w:ascii="Arial" w:hAnsi="Arial" w:eastAsia="Arial"/>
                <w:sz w:val="17"/>
              </w:rPr>
            </w:r>
            <w:r>
              <w:rPr>
                <w:rFonts w:ascii="Arial" w:hAnsi="Arial" w:eastAsia="Arial"/>
                <w:b w:val="0"/>
                <w:sz w:val="17"/>
              </w:rPr>
              <w:t>1.015</w:t>
            </w:r>
          </w:p>
        </w:tc>
        <w:tc>
          <w:tcPr>
            <w:tcW w:type="dxa" w:w="1440"/>
            <w:vAlign w:val="top"/>
          </w:tcPr>
          <w:p>
            <w:r>
              <w:rPr>
                <w:rFonts w:ascii="Arial" w:hAnsi="Arial" w:eastAsia="Arial"/>
                <w:sz w:val="17"/>
              </w:rPr>
            </w:r>
            <w:r>
              <w:rPr>
                <w:rFonts w:ascii="Arial" w:hAnsi="Arial" w:eastAsia="Arial"/>
                <w:b w:val="0"/>
                <w:sz w:val="17"/>
              </w:rPr>
              <w:t>1.02</w:t>
            </w:r>
          </w:p>
        </w:tc>
      </w:tr>
      <w:tr>
        <w:tc>
          <w:tcPr>
            <w:tcW w:type="dxa" w:w="1008"/>
            <w:vAlign w:val="top"/>
          </w:tcPr>
          <w:p>
            <w:r>
              <w:rPr>
                <w:rFonts w:ascii="Arial" w:hAnsi="Arial" w:eastAsia="Arial"/>
                <w:sz w:val="17"/>
              </w:rPr>
            </w:r>
            <w:r>
              <w:rPr>
                <w:rFonts w:ascii="Arial" w:hAnsi="Arial" w:eastAsia="Arial"/>
                <w:b w:val="0"/>
                <w:sz w:val="17"/>
              </w:rPr>
              <w:t>70</w:t>
            </w:r>
          </w:p>
        </w:tc>
        <w:tc>
          <w:tcPr>
            <w:tcW w:type="dxa" w:w="1440"/>
            <w:vAlign w:val="top"/>
          </w:tcPr>
          <w:p>
            <w:r>
              <w:rPr>
                <w:rFonts w:ascii="Arial" w:hAnsi="Arial" w:eastAsia="Arial"/>
                <w:sz w:val="17"/>
              </w:rPr>
            </w:r>
            <w:r>
              <w:rPr>
                <w:rFonts w:ascii="Arial" w:hAnsi="Arial" w:eastAsia="Arial"/>
                <w:b w:val="0"/>
                <w:sz w:val="17"/>
              </w:rPr>
              <w:t>1.03</w:t>
            </w:r>
          </w:p>
        </w:tc>
        <w:tc>
          <w:tcPr>
            <w:tcW w:type="dxa" w:w="1440"/>
            <w:vAlign w:val="top"/>
          </w:tcPr>
          <w:p>
            <w:r>
              <w:rPr>
                <w:rFonts w:ascii="Arial" w:hAnsi="Arial" w:eastAsia="Arial"/>
                <w:sz w:val="17"/>
              </w:rPr>
            </w:r>
            <w:r>
              <w:rPr>
                <w:rFonts w:ascii="Arial" w:hAnsi="Arial" w:eastAsia="Arial"/>
                <w:b w:val="0"/>
                <w:sz w:val="17"/>
              </w:rPr>
              <w:t>1.03</w:t>
            </w:r>
          </w:p>
        </w:tc>
        <w:tc>
          <w:tcPr>
            <w:tcW w:type="dxa" w:w="1440"/>
            <w:vAlign w:val="top"/>
          </w:tcPr>
          <w:p>
            <w:r>
              <w:rPr>
                <w:rFonts w:ascii="Arial" w:hAnsi="Arial" w:eastAsia="Arial"/>
                <w:sz w:val="17"/>
              </w:rPr>
            </w:r>
            <w:r>
              <w:rPr>
                <w:rFonts w:ascii="Arial" w:hAnsi="Arial" w:eastAsia="Arial"/>
                <w:b w:val="0"/>
                <w:sz w:val="17"/>
              </w:rPr>
              <w:t>1.04</w:t>
            </w:r>
          </w:p>
        </w:tc>
      </w:tr>
      <w:tr>
        <w:tc>
          <w:tcPr>
            <w:tcW w:type="dxa" w:w="1008"/>
            <w:vAlign w:val="top"/>
          </w:tcPr>
          <w:p>
            <w:r>
              <w:rPr>
                <w:rFonts w:ascii="Arial" w:hAnsi="Arial" w:eastAsia="Arial"/>
                <w:sz w:val="17"/>
              </w:rPr>
            </w:r>
            <w:r>
              <w:rPr>
                <w:rFonts w:ascii="Arial" w:hAnsi="Arial" w:eastAsia="Arial"/>
                <w:b w:val="0"/>
                <w:sz w:val="17"/>
              </w:rPr>
              <w:t>80</w:t>
            </w:r>
          </w:p>
        </w:tc>
        <w:tc>
          <w:tcPr>
            <w:tcW w:type="dxa" w:w="1440"/>
            <w:vAlign w:val="top"/>
          </w:tcPr>
          <w:p>
            <w:r>
              <w:rPr>
                <w:rFonts w:ascii="Arial" w:hAnsi="Arial" w:eastAsia="Arial"/>
                <w:sz w:val="17"/>
              </w:rPr>
            </w:r>
            <w:r>
              <w:rPr>
                <w:rFonts w:ascii="Arial" w:hAnsi="Arial" w:eastAsia="Arial"/>
                <w:b w:val="0"/>
                <w:sz w:val="17"/>
              </w:rPr>
              <w:t>1.04</w:t>
            </w:r>
          </w:p>
        </w:tc>
        <w:tc>
          <w:tcPr>
            <w:tcW w:type="dxa" w:w="1440"/>
            <w:vAlign w:val="top"/>
          </w:tcPr>
          <w:p>
            <w:r>
              <w:rPr>
                <w:rFonts w:ascii="Arial" w:hAnsi="Arial" w:eastAsia="Arial"/>
                <w:sz w:val="17"/>
              </w:rPr>
            </w:r>
            <w:r>
              <w:rPr>
                <w:rFonts w:ascii="Arial" w:hAnsi="Arial" w:eastAsia="Arial"/>
                <w:b w:val="0"/>
                <w:sz w:val="17"/>
              </w:rPr>
              <w:t>1.045</w:t>
            </w:r>
          </w:p>
        </w:tc>
        <w:tc>
          <w:tcPr>
            <w:tcW w:type="dxa" w:w="1440"/>
            <w:vAlign w:val="top"/>
          </w:tcPr>
          <w:p>
            <w:r>
              <w:rPr>
                <w:rFonts w:ascii="Arial" w:hAnsi="Arial" w:eastAsia="Arial"/>
                <w:sz w:val="17"/>
              </w:rPr>
            </w:r>
            <w:r>
              <w:rPr>
                <w:rFonts w:ascii="Arial" w:hAnsi="Arial" w:eastAsia="Arial"/>
                <w:b w:val="0"/>
                <w:sz w:val="17"/>
              </w:rPr>
              <w:t>1.065</w:t>
            </w:r>
          </w:p>
        </w:tc>
      </w:tr>
      <w:tr>
        <w:tc>
          <w:tcPr>
            <w:tcW w:type="dxa" w:w="1008"/>
            <w:vAlign w:val="top"/>
          </w:tcPr>
          <w:p>
            <w:r>
              <w:rPr>
                <w:rFonts w:ascii="Arial" w:hAnsi="Arial" w:eastAsia="Arial"/>
                <w:sz w:val="17"/>
              </w:rPr>
            </w:r>
            <w:r>
              <w:rPr>
                <w:rFonts w:ascii="Arial" w:hAnsi="Arial" w:eastAsia="Arial"/>
                <w:b w:val="0"/>
                <w:sz w:val="17"/>
              </w:rPr>
              <w:t>90</w:t>
            </w:r>
          </w:p>
        </w:tc>
        <w:tc>
          <w:tcPr>
            <w:tcW w:type="dxa" w:w="1440"/>
            <w:vAlign w:val="top"/>
          </w:tcPr>
          <w:p>
            <w:r>
              <w:rPr>
                <w:rFonts w:ascii="Arial" w:hAnsi="Arial" w:eastAsia="Arial"/>
                <w:sz w:val="17"/>
              </w:rPr>
            </w:r>
            <w:r>
              <w:rPr>
                <w:rFonts w:ascii="Arial" w:hAnsi="Arial" w:eastAsia="Arial"/>
                <w:b w:val="0"/>
                <w:sz w:val="17"/>
              </w:rPr>
              <w:t>1.05</w:t>
            </w:r>
          </w:p>
        </w:tc>
        <w:tc>
          <w:tcPr>
            <w:tcW w:type="dxa" w:w="1440"/>
            <w:vAlign w:val="top"/>
          </w:tcPr>
          <w:p>
            <w:r>
              <w:rPr>
                <w:rFonts w:ascii="Arial" w:hAnsi="Arial" w:eastAsia="Arial"/>
                <w:sz w:val="17"/>
              </w:rPr>
            </w:r>
            <w:r>
              <w:rPr>
                <w:rFonts w:ascii="Arial" w:hAnsi="Arial" w:eastAsia="Arial"/>
                <w:b w:val="0"/>
                <w:sz w:val="17"/>
              </w:rPr>
              <w:t>1.06</w:t>
            </w:r>
          </w:p>
        </w:tc>
        <w:tc>
          <w:tcPr>
            <w:tcW w:type="dxa" w:w="1440"/>
            <w:vAlign w:val="top"/>
          </w:tcPr>
          <w:p>
            <w:r>
              <w:rPr>
                <w:rFonts w:ascii="Arial" w:hAnsi="Arial" w:eastAsia="Arial"/>
                <w:sz w:val="17"/>
              </w:rPr>
            </w:r>
            <w:r>
              <w:rPr>
                <w:rFonts w:ascii="Arial" w:hAnsi="Arial" w:eastAsia="Arial"/>
                <w:b w:val="0"/>
                <w:sz w:val="17"/>
              </w:rPr>
              <w:t>1.09</w:t>
            </w:r>
          </w:p>
        </w:tc>
      </w:tr>
      <w:tr>
        <w:tc>
          <w:tcPr>
            <w:tcW w:type="dxa" w:w="1008"/>
            <w:vAlign w:val="top"/>
          </w:tcPr>
          <w:p>
            <w:r>
              <w:rPr>
                <w:rFonts w:ascii="Arial" w:hAnsi="Arial" w:eastAsia="Arial"/>
                <w:sz w:val="17"/>
              </w:rPr>
            </w:r>
            <w:r>
              <w:rPr>
                <w:rFonts w:ascii="Arial" w:hAnsi="Arial" w:eastAsia="Arial"/>
                <w:b w:val="0"/>
                <w:sz w:val="17"/>
              </w:rPr>
              <w:t>100</w:t>
            </w:r>
          </w:p>
        </w:tc>
        <w:tc>
          <w:tcPr>
            <w:tcW w:type="dxa" w:w="1440"/>
            <w:vAlign w:val="top"/>
          </w:tcPr>
          <w:p>
            <w:r>
              <w:rPr>
                <w:rFonts w:ascii="Arial" w:hAnsi="Arial" w:eastAsia="Arial"/>
                <w:sz w:val="17"/>
              </w:rPr>
            </w:r>
            <w:r>
              <w:rPr>
                <w:rFonts w:ascii="Arial" w:hAnsi="Arial" w:eastAsia="Arial"/>
                <w:b w:val="0"/>
                <w:sz w:val="17"/>
              </w:rPr>
              <w:t>1.06</w:t>
            </w:r>
          </w:p>
        </w:tc>
        <w:tc>
          <w:tcPr>
            <w:tcW w:type="dxa" w:w="1440"/>
            <w:vAlign w:val="top"/>
          </w:tcPr>
          <w:p>
            <w:r>
              <w:rPr>
                <w:rFonts w:ascii="Arial" w:hAnsi="Arial" w:eastAsia="Arial"/>
                <w:sz w:val="17"/>
              </w:rPr>
            </w:r>
            <w:r>
              <w:rPr>
                <w:rFonts w:ascii="Arial" w:hAnsi="Arial" w:eastAsia="Arial"/>
                <w:b w:val="0"/>
                <w:sz w:val="17"/>
              </w:rPr>
              <w:t>1.12</w:t>
            </w:r>
          </w:p>
        </w:tc>
        <w:tc>
          <w:tcPr>
            <w:tcW w:type="dxa" w:w="1440"/>
            <w:vAlign w:val="top"/>
          </w:tcPr>
          <w:p>
            <w:r>
              <w:rPr>
                <w:rFonts w:ascii="Arial" w:hAnsi="Arial" w:eastAsia="Arial"/>
                <w:sz w:val="17"/>
              </w:rPr>
            </w:r>
            <w:r>
              <w:rPr>
                <w:rFonts w:ascii="Arial" w:hAnsi="Arial" w:eastAsia="Arial"/>
                <w:b w:val="0"/>
                <w:sz w:val="17"/>
              </w:rPr>
              <w:t>1.14</w:t>
            </w:r>
          </w:p>
        </w:tc>
      </w:tr>
    </w:tbl>
    <w:p>
      <w:r>
        <w:t>These curves are intentionally approximate and should be documented as dashboard curves. They do not model voltage sag, load current, battery relaxation, or temperature.</w:t>
      </w:r>
    </w:p>
    <w:p>
      <w:pPr>
        <w:pStyle w:val="Heading1"/>
      </w:pPr>
      <w:r>
        <w:t>10. Integration boundaries</w:t>
      </w:r>
    </w:p>
    <w:p>
      <w:r>
        <w:t>Battery engine responsibilities:</w:t>
      </w:r>
    </w:p>
    <w:p>
      <w:pPr>
        <w:pStyle w:val="ListBullet"/>
      </w:pPr>
      <w:r>
        <w:t>Parse/receive a validated battery config.</w:t>
      </w:r>
    </w:p>
    <w:p>
      <w:pPr>
        <w:pStyle w:val="ListBullet"/>
      </w:pPr>
      <w:r>
        <w:t>Derive chemistry profile parameters.</w:t>
      </w:r>
    </w:p>
    <w:p>
      <w:pPr>
        <w:pStyle w:val="ListBullet"/>
      </w:pPr>
      <w:r>
        <w:t>Update battery energy, SoC, voltage display, SoH, and equivalent cycles from requested battery power.</w:t>
      </w:r>
    </w:p>
    <w:p>
      <w:pPr>
        <w:pStyle w:val="ListBullet"/>
      </w:pPr>
      <w:r>
        <w:t>Clamp charge/discharge by capacity and max charge C-rate.</w:t>
      </w:r>
    </w:p>
    <w:p>
      <w:pPr>
        <w:pStyle w:val="ListBullet"/>
      </w:pPr>
      <w:r>
        <w:t>Report applied battery power and state.</w:t>
      </w:r>
    </w:p>
    <w:p>
      <w:r>
        <w:t>EMS/charging module responsibilities, not battery engine responsibilities:</w:t>
      </w:r>
    </w:p>
    <w:p>
      <w:pPr>
        <w:pStyle w:val="ListBullet"/>
      </w:pPr>
      <w:r>
        <w:t>Decide whether to charge from grid, solar, or not charge.</w:t>
      </w:r>
    </w:p>
    <w:p>
      <w:pPr>
        <w:pStyle w:val="ListBullet"/>
      </w:pPr>
      <w:r>
        <w:t>Decide whether the load should be served from grid or battery.</w:t>
      </w:r>
    </w:p>
    <w:p>
      <w:pPr>
        <w:pStyle w:val="ListBullet"/>
      </w:pPr>
      <w:r>
        <w:t>Apply mode policies: solar priority, grid priority, backup preservation, etc.</w:t>
      </w:r>
    </w:p>
    <w:p>
      <w:pPr>
        <w:pStyle w:val="ListBullet"/>
      </w:pPr>
      <w:r>
        <w:t>Calculate requested net_battery_power_w based on solar/load/grid/controller decisions.</w:t>
      </w:r>
    </w:p>
    <w:p>
      <w:pPr>
        <w:pStyle w:val="Heading1"/>
      </w:pPr>
      <w:r>
        <w:t>11. Recommended staged implementation</w:t>
      </w:r>
    </w:p>
    <w:p>
      <w:pPr>
        <w:pStyle w:val="ListNumber"/>
      </w:pPr>
      <w:r>
        <w:t>Stage B1: pure battery simulation engine and tests only. No DB/API/scheduler/frontend.</w:t>
      </w:r>
    </w:p>
    <w:p>
      <w:pPr>
        <w:pStyle w:val="ListNumber"/>
      </w:pPr>
      <w:r>
        <w:t>Stage B2: diagnostic battery probe with a few controlled charge/discharge scenarios and matplotlib charts.</w:t>
      </w:r>
    </w:p>
    <w:p>
      <w:pPr>
        <w:pStyle w:val="ListNumber"/>
      </w:pPr>
      <w:r>
        <w:t>Stage B3: integrate with load + grid + solar through a temporary EMS driver for visual validation.</w:t>
      </w:r>
    </w:p>
    <w:p>
      <w:pPr>
        <w:pStyle w:val="ListNumber"/>
      </w:pPr>
      <w:r>
        <w:t>Stage B4: only after behavior is confirmed, add storage/backfill/API if still needed.</w:t>
      </w:r>
    </w:p>
    <w:p>
      <w:pPr>
        <w:pStyle w:val="Heading1"/>
      </w:pPr>
      <w:r>
        <w:t>12. Required tests for the pure battery engine</w:t>
      </w:r>
    </w:p>
    <w:p>
      <w:pPr>
        <w:pStyle w:val="ListBullet"/>
      </w:pPr>
      <w:r>
        <w:t>Config validation accepts only lead_acid, lifepo4, li_ion and 12/24 V.</w:t>
      </w:r>
    </w:p>
    <w:p>
      <w:pPr>
        <w:pStyle w:val="ListBullet"/>
      </w:pPr>
      <w:r>
        <w:t>Nominal energy and operational usable energy are calculated correctly.</w:t>
      </w:r>
    </w:p>
    <w:p>
      <w:pPr>
        <w:pStyle w:val="ListBullet"/>
      </w:pPr>
      <w:r>
        <w:t>Initial state is 50% SoC and 100% SoH at installation.</w:t>
      </w:r>
    </w:p>
    <w:p>
      <w:pPr>
        <w:pStyle w:val="ListBullet"/>
      </w:pPr>
      <w:r>
        <w:t>Charging increases energy and clamps at full capacity.</w:t>
      </w:r>
    </w:p>
    <w:p>
      <w:pPr>
        <w:pStyle w:val="ListBullet"/>
      </w:pPr>
      <w:r>
        <w:t>Discharging decreases energy and clamps at empty.</w:t>
      </w:r>
    </w:p>
    <w:p>
      <w:pPr>
        <w:pStyle w:val="ListBullet"/>
      </w:pPr>
      <w:r>
        <w:t>Charge power is limited by chemistry C-rate.</w:t>
      </w:r>
    </w:p>
    <w:p>
      <w:pPr>
        <w:pStyle w:val="ListBullet"/>
      </w:pPr>
      <w:r>
        <w:t>SoC is calculated from Wh balance, not from voltage.</w:t>
      </w:r>
    </w:p>
    <w:p>
      <w:pPr>
        <w:pStyle w:val="ListBullet"/>
      </w:pPr>
      <w:r>
        <w:t>Voltage output follows the selected chemistry curve by interpolation.</w:t>
      </w:r>
    </w:p>
    <w:p>
      <w:pPr>
        <w:pStyle w:val="ListBullet"/>
      </w:pPr>
      <w:r>
        <w:t>Equivalent cycles accumulate from discharged Wh.</w:t>
      </w:r>
    </w:p>
    <w:p>
      <w:pPr>
        <w:pStyle w:val="ListBullet"/>
      </w:pPr>
      <w:r>
        <w:t>Daily degradation reduces SoH by cycles * (20 / reference_cycle_life).</w:t>
      </w:r>
    </w:p>
    <w:p>
      <w:pPr>
        <w:pStyle w:val="ListBullet"/>
      </w:pPr>
      <w:r>
        <w:t>Energy is clamped if SoH degradation reduces usable capacity below current energy.</w:t>
      </w:r>
    </w:p>
    <w:p>
      <w:pPr>
        <w:pStyle w:val="ListBullet"/>
      </w:pPr>
      <w:r>
        <w:t>Battery engine does not import load, grid, solar generation, API, or storage modules.</w:t>
      </w:r>
    </w:p>
    <w:p>
      <w:pPr>
        <w:pStyle w:val="Heading1"/>
      </w:pPr>
      <w:r>
        <w:t>13. Open decisions / notes for implementation</w:t>
      </w:r>
    </w:p>
    <w:p>
      <w:pPr>
        <w:pStyle w:val="ListBullet"/>
      </w:pPr>
      <w:r>
        <w:t>The exact YAML nesting should follow existing station config style. The logical user-facing fields remain chemistry, nominal_voltage_v, capacity_ah, and installation_date.</w:t>
      </w:r>
    </w:p>
    <w:p>
      <w:pPr>
        <w:pStyle w:val="ListBullet"/>
      </w:pPr>
      <w:r>
        <w:t>The first implementation should not attempt to model battery current, BMS, temperature, or internal resistance.</w:t>
      </w:r>
    </w:p>
    <w:p>
      <w:pPr>
        <w:pStyle w:val="ListBullet"/>
      </w:pPr>
      <w:r>
        <w:t>The reference profiles are generalized defaults and should be documented as such.</w:t>
      </w:r>
    </w:p>
    <w:p>
      <w:pPr>
        <w:pStyle w:val="ListBullet"/>
      </w:pPr>
      <w:r>
        <w:t>The voltage curve can be adjusted later if the frontend display needs better visual realism.</w:t>
      </w:r>
    </w:p>
    <w:p>
      <w:pPr>
        <w:pStyle w:val="Heading1"/>
      </w:pPr>
      <w:r>
        <w:t>References</w:t>
      </w:r>
    </w:p>
    <w:p>
      <w:pPr>
        <w:ind w:left="288" w:hanging="288"/>
      </w:pPr>
      <w:r>
        <w:t>[1] Depth of discharge. Wikipedia. Defines DoD and its relationship to SoC. https://en.wikipedia.org/wiki/Depth_of_discharge</w:t>
      </w:r>
    </w:p>
    <w:p>
      <w:pPr>
        <w:ind w:left="288" w:hanging="288"/>
      </w:pPr>
      <w:r>
        <w:t>[2] Rechargeable battery. Wikipedia. Summarizes typical lead-acid and lithium discharge limits. https://en.wikipedia.org/wiki/Rechargeable_battery</w:t>
      </w:r>
    </w:p>
    <w:p>
      <w:pPr>
        <w:ind w:left="288" w:hanging="288"/>
      </w:pPr>
      <w:r>
        <w:t>[3] Lithium-ion battery. Wikipedia. Notes cycle life is commonly specified to 80% capacity and depends on stress factors. https://en.wikipedia.org/wiki/Lithium-ion_battery</w:t>
      </w:r>
    </w:p>
    <w:p>
      <w:pPr>
        <w:ind w:left="288" w:hanging="288"/>
      </w:pPr>
      <w:r>
        <w:t>[4] Lithium iron phosphate. Wikipedia. Notes LiFePO4 has a flat discharge voltage curve and SoC-estimation challenges. https://en.wikipedia.org/wiki/Lithium_iron_phosphate</w:t>
      </w:r>
    </w:p>
    <w:p>
      <w:pPr>
        <w:ind w:left="288" w:hanging="288"/>
      </w:pPr>
      <w:r>
        <w:t>[5] Comparison of commercial battery types. Wikipedia. Provides broad cycle-life comparison for lead-acid, lithium-ion, and LiFePO4. https://en.wikipedia.org/wiki/Comparison_of_commercial_battery_types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