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rFonts w:hint="eastAsia"/>
                <w:szCs w:val="28"/>
              </w:rPr>
              <w:t xml:space="preserve">  </w:t>
            </w:r>
            <w:r w:rsidRPr="002750D0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</w:rPr>
              <w:t>软件工程</w:t>
            </w:r>
            <w:r w:rsidRPr="002750D0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2750D0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073A202C" w:rsidR="0034204C" w:rsidRDefault="002750D0" w:rsidP="002750D0">
            <w:pPr>
              <w:spacing w:line="240" w:lineRule="exact"/>
              <w:jc w:val="center"/>
            </w:pPr>
            <w:commentRangeStart w:id="2"/>
            <w:commentRangeStart w:id="3"/>
            <w:r w:rsidRPr="002750D0">
              <w:rPr>
                <w:rFonts w:hint="eastAsia"/>
                <w:szCs w:val="28"/>
              </w:rPr>
              <w:t>面向超级个体的</w:t>
            </w:r>
            <w:r w:rsidRPr="002750D0">
              <w:rPr>
                <w:rFonts w:hint="eastAsia"/>
                <w:szCs w:val="28"/>
              </w:rPr>
              <w:t>AIGC</w:t>
            </w:r>
            <w:r w:rsidRPr="002750D0">
              <w:rPr>
                <w:rFonts w:hint="eastAsia"/>
                <w:szCs w:val="28"/>
              </w:rPr>
              <w:t>协作开发工作流平台设计与实现</w:t>
            </w:r>
            <w:commentRangeEnd w:id="2"/>
            <w:r w:rsidR="00A40740">
              <w:rPr>
                <w:rStyle w:val="aa"/>
              </w:rPr>
              <w:commentReference w:id="2"/>
            </w:r>
            <w:commentRangeEnd w:id="3"/>
            <w:r w:rsidR="002F218E">
              <w:rPr>
                <w:rStyle w:val="aa"/>
              </w:rPr>
              <w:commentReference w:id="3"/>
            </w:r>
          </w:p>
        </w:tc>
      </w:tr>
      <w:tr w:rsidR="0034204C" w14:paraId="13E62E0E" w14:textId="77777777" w:rsidTr="002750D0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41DF7E0F" w:rsidR="0034204C" w:rsidRDefault="002750D0" w:rsidP="002750D0">
            <w:pPr>
              <w:spacing w:line="240" w:lineRule="exact"/>
              <w:jc w:val="center"/>
            </w:pPr>
            <w:r w:rsidRPr="002750D0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13071858629</w:t>
            </w:r>
          </w:p>
        </w:tc>
      </w:tr>
      <w:tr w:rsidR="0034204C" w14:paraId="278B391C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3A78F4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4AD6C251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379C9159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46AED2C9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19739D42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14E3A164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25A2174D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6E612C9E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214334DB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一、课题定位与目标</w:t>
            </w:r>
          </w:p>
          <w:p w14:paraId="021EC957" w14:textId="70A95D1F" w:rsidR="002750D0" w:rsidRPr="002750D0" w:rsidRDefault="002750D0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本课题选择独立开发者</w:t>
            </w:r>
            <w:r w:rsidR="00C3287F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="00C3287F">
              <w:rPr>
                <w:rFonts w:ascii="Times New Roman" w:hAnsi="Times New Roman" w:cs="Times New Roman" w:hint="eastAsia"/>
                <w:sz w:val="19"/>
                <w:szCs w:val="21"/>
              </w:rPr>
              <w:t>小型开发团队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维护软件项目作为具体业务场景，设计并实现一个人工智能生成内容（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）协作开发工作流平台。平台以项目目标、需求资料、代码仓库、决策记录和验收标准为事实输入，通过模型上下文协议（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）连接代码智能体、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及测试工具，把需求澄清、任务规划、代码执行、人工审查、测试和交付组织为可编辑、可执行、可追溯的工程闭环。</w:t>
            </w:r>
          </w:p>
          <w:p w14:paraId="6F6F4B25" w14:textId="77777777" w:rsidR="00C3287F" w:rsidRDefault="002750D0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毕业设计以可运行平台原型和工程验证结果为主要成果。评价维度按照“与课题目标直接对应、相互边界清晰、能够取得可验证证据”三项原则确定。依据软件产品质量、人机协作、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风险治理和平台工程研究，选择五个核心维度：（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）任务有效性，考察验收条件、需求覆盖和范围偏离；（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）工程产物质量，考察测试、缺陷返工、可维护性和安全问题；（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）人机协作与可控性，考察状态理解、澄清、审批、审查、撤销和人工接管；（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）过程可信与可追溯性，考察证据链、权限审批、复现恢复和敏感信息保护；（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）平台工程能力，考察可靠性、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互操作、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可替换性、工具集成和部署能力。五个维度分别回答任务是否做对、产物是否合格、用户能否控制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、过程能否审计追溯以及平台能否可靠运行，并可由需求追踪、测试报告、交互事件、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Trace/Asset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和部署验证提供证据。</w:t>
            </w:r>
          </w:p>
          <w:p w14:paraId="36EAC146" w14:textId="40D68F49" w:rsidR="002750D0" w:rsidRPr="002750D0" w:rsidRDefault="00C3287F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ascii="Times New Roman" w:hAnsi="Times New Roman" w:cs="Times New Roman" w:hint="eastAsia"/>
                <w:sz w:val="19"/>
                <w:szCs w:val="21"/>
              </w:rPr>
              <w:t>同时选择</w:t>
            </w:r>
            <w:r w:rsidR="008A79A1">
              <w:rPr>
                <w:rFonts w:ascii="Times New Roman" w:hAnsi="Times New Roman" w:cs="Times New Roman" w:hint="eastAsia"/>
                <w:sz w:val="19"/>
                <w:szCs w:val="21"/>
              </w:rPr>
              <w:t>不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将研发效能与资源效率列为核心维度，是因为真实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开发任务难以等价，模型版本、随机输出和多智能体并行又使耗时、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、重试与费用难以公平比较和归因；相关数据仅用于案例复盘和运行诊断，不据此宣称平台具有普遍的效率或成本优势。</w:t>
            </w:r>
          </w:p>
          <w:p w14:paraId="58C5BBAB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4"/>
            <w:commentRangeStart w:id="5"/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二、主要交付内容</w:t>
            </w:r>
            <w:commentRangeEnd w:id="4"/>
            <w:r w:rsidR="00A40740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4"/>
            </w:r>
            <w:commentRangeEnd w:id="5"/>
            <w:r w:rsidR="002F218E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5"/>
            </w:r>
          </w:p>
          <w:p w14:paraId="7B9F0ABC" w14:textId="2DC06706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）需求规格与用户体验（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）核心原型。依据</w:t>
            </w:r>
            <w:commentRangeStart w:id="6"/>
            <w:commentRangeStart w:id="7"/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项目现有核心想法、开发计划和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Focus OS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界面规范</w:t>
            </w:r>
            <w:commentRangeEnd w:id="6"/>
            <w:r w:rsidR="000770B2" w:rsidRPr="002750D0">
              <w:rPr>
                <w:rStyle w:val="aa"/>
                <w:rFonts w:ascii="Times New Roman" w:hAnsi="Times New Roman" w:cs="Times New Roman" w:hint="eastAsia"/>
                <w:sz w:val="19"/>
              </w:rPr>
              <w:commentReference w:id="6"/>
            </w:r>
            <w:commentRangeEnd w:id="7"/>
            <w:r w:rsidR="002F218E" w:rsidRPr="002750D0">
              <w:rPr>
                <w:rStyle w:val="aa"/>
                <w:rFonts w:ascii="Times New Roman" w:hAnsi="Times New Roman" w:cs="Times New Roman" w:hint="eastAsia"/>
                <w:sz w:val="19"/>
              </w:rPr>
              <w:commentReference w:id="7"/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，形成独立开发者</w:t>
            </w:r>
            <w:r w:rsidR="0040411B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="0040411B">
              <w:rPr>
                <w:rFonts w:ascii="Times New Roman" w:hAnsi="Times New Roman" w:cs="Times New Roman" w:hint="eastAsia"/>
                <w:sz w:val="19"/>
                <w:szCs w:val="21"/>
              </w:rPr>
              <w:t>小型团队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的典型用户旅程、功能范围、异常场景和验收标准；完成项目创建或导入、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确认、工作流成果视图与完整流程、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协作、审批、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、资产和交付结果等核心界面原型。</w:t>
            </w:r>
          </w:p>
          <w:p w14:paraId="5FDEEBA8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）工作流与项目上下文模块。采用“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”层级，把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中的功能、里程碑、风险和验收条件映射到可独立验收的任务；用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声明任务目标、输入、输出、允许工具和验收标准。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生成候选工作流，确定性校验器检查依赖、需求覆盖和资产流，用户确认后形成正式版本；任务执行前由系统从显式输入、直接依赖、项目决策和仓库快照构建结构化上下文包（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）。</w:t>
            </w:r>
          </w:p>
          <w:p w14:paraId="6AF10DAF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工具集成与受控执行模块。系统通过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能力目录和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接入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等代码智能体，页面、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和终端入口复用同一业务服务、权限与审计规则。任务在受管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Repository Workspace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及隔离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中执行，记录命令、文件变更、工具调用和状态事件；写入、敏感操作和外部交付经过人工确认、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，凭据不进入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或前端响应。</w:t>
            </w:r>
          </w:p>
          <w:p w14:paraId="5F75596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）资产证据与工程交付模块。将需求、决策、代码变更、测试报告和交付记录保存为带版本和来源关系的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，使用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、内容哈希及证明记录关联任务输入、执行过程与输出。验收通过后形成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，并以需求追踪、工程产物、人工决策、过程证据和平台测试数据支撑五维评价；任务耗时、模型用量、工具调用和重试只作为具体运行的描述与诊断信息。</w:t>
            </w:r>
          </w:p>
          <w:p w14:paraId="218178E1" w14:textId="391E0629" w:rsidR="002750D0" w:rsidRPr="002750D0" w:rsidRDefault="002750D0" w:rsidP="00424B1F">
            <w:pPr>
              <w:pStyle w:val="a9"/>
              <w:keepNext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8"/>
            <w:commentRangeStart w:id="9"/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lastRenderedPageBreak/>
              <w:t>三、</w:t>
            </w:r>
            <w:r w:rsidR="0071174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基本技术路线</w:t>
            </w:r>
            <w:commentRangeEnd w:id="8"/>
            <w:r w:rsidR="00A40740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8"/>
            </w:r>
            <w:commentRangeEnd w:id="9"/>
            <w:r w:rsidR="002F218E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9"/>
            </w:r>
          </w:p>
          <w:p w14:paraId="2A66738D" w14:textId="4D5986D7" w:rsidR="0082366F" w:rsidRPr="00424B1F" w:rsidRDefault="0082366F" w:rsidP="00424B1F">
            <w:pPr>
              <w:pStyle w:val="a9"/>
              <w:spacing w:before="0" w:after="0" w:line="224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系统采用“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编排层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+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确定性控制层”的双层技术架构：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负责根据目标动态规划任务、选择工具、观察结果并决定是否修正或重规划；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控制层负责权限、状态持久化、结构校验、审批和安全边界。</w:t>
            </w:r>
          </w:p>
          <w:p w14:paraId="3AA7C101" w14:textId="59F6E7D6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）目标与上下文建模：将用户目标、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、需求资料、代码仓库快照、约束条件和验收标准组织为结构化输入，并建立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能力目录，使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能够同时理解“要完成什么、当前项目是什么状态、可以调用哪些能力”。</w:t>
            </w:r>
          </w:p>
          <w:p w14:paraId="68FD397B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）动态工作流生成：由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LLM Orchestrator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依据目标和上下文执行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Plan-and-Execute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规划，动态生成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组成的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、依赖关系、输入输出和验收标准，而不是预置固定节点。确定性校验器检查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无环、需求覆盖、依赖完整和能力可用性，用户确认后形成正式工作流。</w:t>
            </w:r>
          </w:p>
          <w:p w14:paraId="039BE947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）智能体任务与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编排：每个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作为具有目标、上下文、可用工具和完成条件的智能体任务。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根据当前计划和执行观察自主选择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工具、代码执行器及调用顺序；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后端提供统一能力入口和执行约束，不硬编码每类任务的业务路径。</w:t>
            </w:r>
          </w:p>
          <w:p w14:paraId="5C9DBD70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）动态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与记忆组织：执行前按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从显式输入、直接依赖、项目决策、相关代码和仓库快照中检索、压缩并组装最小充分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；上下文随任务和版本动态更新，避免把全部历史对话直接塞给模型，并降低信息遗漏、冲突和上下文漂移。</w:t>
            </w:r>
          </w:p>
          <w:p w14:paraId="3C1C12C9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）执行、反思与自我修正：采用“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Plan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Execute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Observe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Reflect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”循环，智能体执行工具或修改代码后读取测试、命令和错误结果，在限定次数内反思原因并修正；当目标、依赖或验收条件发生变化时生成重规划提案，超过重试上限、置信度不足或涉及高风险操作时转交人工处理。</w:t>
            </w:r>
          </w:p>
          <w:p w14:paraId="32083973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）人机协同与确定性治理：用户负责确认目标、正式工作流、高风险写入和最终交付，并通过审批、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、撤销和人工接管保持控制。受管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、权限校验、凭据隔离、幂等和失败恢复约束智能体行为；这些机制提供安全边界，但不替代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的动态规划与工具决策。</w:t>
            </w:r>
          </w:p>
          <w:p w14:paraId="61107AF2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7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）分层测试与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 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：对权限、状态、接口、数据和安全边界继续执行单元、集成、端到端、故障和安全测试；对动态工作流、工具选择、上下文构造、反思和重规划建立版本化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场景集。在固定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、仓库快照、模型、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和能力集合下重复运行，评价需求覆盖、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有效性与可执行性、工具选择正确性、验收通过、范围偏离及自我修正结果；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、模型或编排策略变化后执行回归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并报告波动和局限。</w:t>
            </w:r>
          </w:p>
          <w:p w14:paraId="306481D7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8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）集成部署与迭代优化：集成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，完成代表性软件任务及异常场景验证；依据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、自动化测试和人工审查结果迭代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模板、规划器、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选择策略、工具权限、停止条件和交互方式，最终完成可运行原型、部署文档、测试与评测报告。</w:t>
            </w:r>
          </w:p>
          <w:p w14:paraId="4CF48908" w14:textId="50498AF4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10"/>
            <w:commentRangeStart w:id="11"/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四、核心工程问题与处理重点</w:t>
            </w:r>
            <w:commentRangeEnd w:id="10"/>
            <w:r w:rsidR="00A40740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10"/>
            </w:r>
            <w:commentRangeEnd w:id="11"/>
            <w:r w:rsidR="002F218E" w:rsidRPr="002750D0">
              <w:rPr>
                <w:rStyle w:val="aa"/>
                <w:rFonts w:ascii="Times New Roman" w:hAnsi="Times New Roman" w:cs="Times New Roman"/>
                <w:b/>
                <w:sz w:val="19"/>
              </w:rPr>
              <w:commentReference w:id="11"/>
            </w:r>
          </w:p>
          <w:p w14:paraId="194C198A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核心原型的范围一致性。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作为需求基线，功能、验收条件、里程碑和风险均需映射到负责的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；界面同时呈现目标、依据、执行状态、阻塞原因和人工决策入口，使用户能够理解并控制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工作过程。</w:t>
            </w:r>
          </w:p>
          <w:p w14:paraId="1EADDB8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）架构设计中的上下文主权与组件可替换性。项目上下文、资产、决策和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由平台持有，代码智能体只消费按任务组装的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能力目录隔离具体模型及工具差异，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和网页入口统一调用领域服务。</w:t>
            </w:r>
          </w:p>
          <w:p w14:paraId="4D515A77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）实现集成中的执行边界与状态一致性。外部代码源保持只读，写操作限定在受管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；权限、路径、敏感信息、写锁、幂等、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、失败恢复和仓库快照共同约束长任务执行，避免并发覆盖、重复交付和越权访问。</w:t>
            </w:r>
          </w:p>
          <w:p w14:paraId="2E9BCCD3" w14:textId="275C22AD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）测试评价中的证据充分性与结论边界。采用标准化系统测试和代表性场景案例，分别验证功能验收、产物质量、人工控制、证据追溯和平台可靠性。案例可记录耗时、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、重试和人工决策，用于还原执行过程和识别运行开销</w:t>
            </w:r>
            <w:r w:rsidR="008A588B">
              <w:rPr>
                <w:rFonts w:ascii="Times New Roman" w:hAnsi="Times New Roman" w:cs="Times New Roman" w:hint="eastAsia"/>
                <w:sz w:val="19"/>
                <w:szCs w:val="21"/>
              </w:rPr>
              <w:t>。</w:t>
            </w:r>
          </w:p>
          <w:p w14:paraId="63435742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1E5AAAAC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4E68A56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）架构与最小闭环阶段：完成领域模型、模块边界、接口、权限和数据方案，优先跑通“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—受控执行—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—测试—交付”的最小闭环。</w:t>
            </w:r>
          </w:p>
          <w:p w14:paraId="11A14502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）实现集成与质量加固阶段：分阶段接入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Codex Runner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、受管仓库、资产证据和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交付；每个增量配置单元、集成和端到端测试，并覆盖路径隔离、敏感信息、幂等、审批、回滚和异常恢复。</w:t>
            </w:r>
          </w:p>
          <w:p w14:paraId="529373E5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场景验证与成果交付阶段：选择具有代表性的功能增量和异常处理场景，验证平台闭环及五维评价要求；根据测试、可用性与案例证据优化工作流、上下文和交互，运行时间与模型用量只作案例说明，最终完成部署包、源代码、项目文档、测试报告、场景验证报告和答辩材料。</w:t>
            </w:r>
          </w:p>
          <w:p w14:paraId="78C65F84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7CEB0B23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）提交可运行的平台原型及源代码，完整演示项目接入、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确认、工作流生成与校验、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上下文构建、受控执行、人工审查、自动化测试、资产绑定和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752843B4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核心原型、系统架构与数据模型、接口说明、部署运行手册、测试用例、需求追踪矩阵和场景验证报告，关键结论可追溯到代码、测试、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或版本库记录。</w:t>
            </w:r>
          </w:p>
          <w:p w14:paraId="25F70E51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4B76D280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）至少完成两类代表性软件开发场景验证，分别覆盖功能增量和带异常或安全约束的任务；每个场景保留需求、上下文、执行、审批、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、测试和交付证据，按任务有效性、工程产物质量、人机协作与可控性、过程可信与可追溯性、平台工程能力报告结果及局限。涉及时间、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和费用的数据注明任务、模型、版本、上下文与环境，仅作为描述性证据。</w:t>
            </w:r>
          </w:p>
          <w:p w14:paraId="5455DDDF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）平台形成需求、决策、执行、测试和交付的证据链，正式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的必需输出全部绑定并通过验收后方可完成，代码交付包含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、测试结果、提交或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记录。</w:t>
            </w:r>
          </w:p>
          <w:p w14:paraId="4A537563" w14:textId="7D2D9EB5" w:rsidR="0034204C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A6AE59" w14:textId="77777777" w:rsidR="002750D0" w:rsidRPr="002750D0" w:rsidRDefault="002750D0" w:rsidP="002750D0">
            <w:pPr>
              <w:spacing w:line="244" w:lineRule="exact"/>
              <w:rPr>
                <w:b/>
                <w:sz w:val="19"/>
              </w:rPr>
            </w:pPr>
            <w:r w:rsidRPr="002750D0">
              <w:rPr>
                <w:rFonts w:hint="eastAsia"/>
                <w:b/>
                <w:sz w:val="19"/>
              </w:rPr>
              <w:lastRenderedPageBreak/>
              <w:t>推荐参考文献：</w:t>
            </w:r>
          </w:p>
          <w:p w14:paraId="1E0D7DFB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49EDF5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[2] BECKER J, RUSH N, CUNNINGHAM T, et al. We are changing our developer productivity experiment design[EB/OL]. (2026-02-24)[2026-07-23]. https://metr.org/blog/2026-02-24-uplift-update/.</w:t>
            </w:r>
          </w:p>
          <w:p w14:paraId="107ABECF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00EA58C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6759B545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23255A1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4DEA54FE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2880C8F0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[8]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6CBF40F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lastRenderedPageBreak/>
              <w:t>[9]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1688572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[10] FORSGREN N, STOREY M A, MADDILA C, et al. The SPACE of developer productivity: There's more to it than you think[J]. Queue, 2021, 19(1): 20-48. DOI:10.1145/3454122.3454124.</w:t>
            </w:r>
          </w:p>
          <w:p w14:paraId="477A833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[11] NODA A, STOREY M A, FORSGREN N, et al. DevEx: What actually drives productivity[J]. Queue, 2023, 21(2): 35-53. DOI:10.1145/3595878.</w:t>
            </w:r>
          </w:p>
          <w:p w14:paraId="017A9F32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[12] LEE J D, SEE K A. Trust in automation: Designing for appropriate reliance[J]. Human Factors, 2004, 46(1): 50-80. DOI:10.1518/hfes.46.1.50_30392.</w:t>
            </w:r>
          </w:p>
          <w:p w14:paraId="17179F5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[13] HART S G, STAVELAND L E. Development of NASA-TLX (Task Load Index): Results of empirical and theoretical research[A]//HANCOCK P A, MESHKATI N. Human Mental Workload. Amsterdam: North-Holland, 1988: 139-183. DOI:10.1016/S0166-4115(08)62386-9.</w:t>
            </w:r>
          </w:p>
          <w:p w14:paraId="2F0D1DE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[14] PEARCE H, AHMAD B, TAN B, et al. Asleep at the keyboard? Assessing the security of GitHub Copilot's code contributions[C]//2022 IEEE Symposium on Security and Privacy. Los Alamitos, CA: IEEE, 2022: 754-768. DOI:10.1109/SP46214.2022.9833571.</w:t>
            </w:r>
          </w:p>
          <w:p w14:paraId="37D0BB9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[15] PERRY N, SRIVASTAVA M, KUMAR D, et al. Do users write more insecure code with AI assistants?[C]//Proceedings of the 2023 ACM SIGSAC Conference on Computer and Communications Security. New York: ACM, 2023: 2785-2799. DOI:10.1145/3576915.3623157.</w:t>
            </w:r>
          </w:p>
          <w:p w14:paraId="43783C4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[16] VAN DER AALST W M P, TER HOFSTEDE A H M, KIEPUSZEWSKI B, et al. Workflow patterns[J]. Distributed and Parallel Databases, 2003, 14(1): 5-51. DOI:10.1023/A:1022883727209.</w:t>
            </w:r>
          </w:p>
          <w:p w14:paraId="384D7C7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[17] MOREAU L, CLIFFORD B, FREIRE J, et al. The Open Provenance Model core specification (v1.1)[J]. Future Generation Computer Systems, 2011, 27(6): 743-756. DOI:10.1016/j.future.2010.07.005.</w:t>
            </w:r>
          </w:p>
          <w:p w14:paraId="0AC9653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[18] DORA. DORA's software delivery performance metrics[EB/OL]. [2026-07-23]. https://dora.dev/guides/dora-metrics/.</w:t>
            </w:r>
          </w:p>
          <w:p w14:paraId="7BE9AD12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[19] INTERNATIONAL ORGANIZATION FOR STANDARDIZATION. ISO/IEC 25010:2023 Systems and software engineering—Systems and software Quality Requirements and Evaluation (SQuaRE)—Product quality model[S]. Geneva: ISO, 2023.</w:t>
            </w:r>
          </w:p>
          <w:p w14:paraId="0322634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[20] INTERNATIONAL ORGANIZATION FOR STANDARDIZATION. ISO/IEC 25023:2016 Systems and software engineering—Systems and software Quality Requirements and Evaluation (SQuaRE)—Measurement of system and software product quality[S]. Geneva: ISO, 2016.</w:t>
            </w:r>
          </w:p>
          <w:p w14:paraId="466D7675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[21] INTERNATIONAL ORGANIZATION FOR STANDARDIZATION. ISO/IEC 25059:2023 Software engineering—Systems and software Quality Requirements and Evaluation (SQuaRE)—Quality model for AI systems[S]. Geneva: ISO, 2023.</w:t>
            </w:r>
          </w:p>
          <w:p w14:paraId="3BE9CB2E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[22] INTERNATIONAL ORGANIZATION FOR STANDARDIZATION. ISO 9241-11:2018 Ergonomics of human-system interaction—Part 11: Usability: Definitions and concepts[S]. Geneva: ISO, 2018.</w:t>
            </w:r>
          </w:p>
          <w:p w14:paraId="78CF08F4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[23] TABASSI E. Artificial Intelligence Risk Management Framework (AI RMF 1.0)[R]. Gaithersburg, MD: National Institute of Standards and Technology, 2023. DOI:10.6028/NIST.AI.100-1.</w:t>
            </w:r>
          </w:p>
          <w:p w14:paraId="024D918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[24] MODEL CONTEXT PROTOCOL. Model Context Protocol specification: 2025-06-18[EB/OL]. (2025-06-18)[2026-07-22]. https://modelcontextprotocol.io/specification/2025-06-18.</w:t>
            </w:r>
          </w:p>
          <w:p w14:paraId="144CE21D" w14:textId="3777226A" w:rsidR="0034204C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[25]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lastRenderedPageBreak/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作者" w:date="2026-07-22T09:33:00Z" w:initials="A">
    <w:p w14:paraId="59564E9A" w14:textId="59C812D0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我觉得你的工作更偏向于应用</w:t>
      </w:r>
      <w:r>
        <w:rPr>
          <w:rFonts w:hint="eastAsia"/>
        </w:rPr>
        <w:t>AIGC</w:t>
      </w:r>
      <w:r>
        <w:rPr>
          <w:rFonts w:hint="eastAsia"/>
        </w:rPr>
        <w:t>的新模式的开发工作流，进行开源集成构建</w:t>
      </w:r>
      <w:r>
        <w:rPr>
          <w:rFonts w:hint="eastAsia"/>
        </w:rPr>
        <w:t>AIGC</w:t>
      </w:r>
      <w:r>
        <w:rPr>
          <w:rFonts w:hint="eastAsia"/>
        </w:rPr>
        <w:t>工具平台的工程项目。所以后续的应该围绕工程项目实现的基本要素展开，即范围，开发效率，开发成本，开发质量，来表明自己的产品的能力，还有用新的</w:t>
      </w:r>
      <w:r>
        <w:rPr>
          <w:rFonts w:hint="eastAsia"/>
        </w:rPr>
        <w:t>AIGC</w:t>
      </w:r>
      <w:r>
        <w:rPr>
          <w:rFonts w:hint="eastAsia"/>
        </w:rPr>
        <w:t>工作流提升开发能力的过程。</w:t>
      </w:r>
    </w:p>
  </w:comment>
  <w:comment w:id="3" w:author="作者" w:date="2026-07-23T08:33:00Z" w:initials="A">
    <w:p w14:paraId="48EEC4BF" w14:textId="77777777" w:rsidR="002F218E" w:rsidRDefault="002F218E" w:rsidP="002F218E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好的老师。之后我搜集相关信息，选择任务有效性、工程产物质量、人机协作与可控性、过程可信与可追溯性、平台工程能力五个维度，分别评价任务是否做对、产物是否合格、用户能否控制</w:t>
      </w:r>
      <w:r>
        <w:rPr>
          <w:rFonts w:hint="eastAsia"/>
        </w:rPr>
        <w:t>AI</w:t>
      </w:r>
      <w:r>
        <w:rPr>
          <w:rFonts w:hint="eastAsia"/>
        </w:rPr>
        <w:t>、过程能否审计追溯以及平台能否可靠运行。</w:t>
      </w:r>
    </w:p>
  </w:comment>
  <w:comment w:id="4" w:author="作者" w:date="2026-07-22T09:26:00Z" w:initials="A">
    <w:p w14:paraId="47FE9FB8" w14:textId="19D91905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我觉得你主要是一个原型，这部分是不是应该是项目交付的主要内容。一般在这里，不需要写的分类那么细，把几个主要的模块写出来即可。我看有的是过程性的，有的是需求，这些分开。开发过程和需求标题下可以有小标题。不要这样囫囵吞枣写这么多条</w:t>
      </w:r>
    </w:p>
  </w:comment>
  <w:comment w:id="5" w:author="作者" w:date="2026-07-23T08:33:00Z" w:initials="A">
    <w:p w14:paraId="77562C25" w14:textId="77777777" w:rsidR="002F218E" w:rsidRDefault="002F218E" w:rsidP="002F218E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已重新整理为四个主要交付模块</w:t>
      </w:r>
    </w:p>
  </w:comment>
  <w:comment w:id="6" w:author="作者" w:date="2026-07-22T09:24:00Z" w:initials="A">
    <w:p w14:paraId="36C49D51" w14:textId="74576C7E" w:rsidR="000770B2" w:rsidRDefault="000770B2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这个写法是有问题的，不能把前期做的东西作为毕业设计，语言上需要处理一下。核心是要写清楚当未来的目标。前期工作作为可行性分析。任务书中不需要写那么多，开题报告中为主展开</w:t>
      </w:r>
    </w:p>
  </w:comment>
  <w:comment w:id="7" w:author="作者" w:date="2026-07-23T08:33:00Z" w:initials="A">
    <w:p w14:paraId="2C318DB0" w14:textId="77777777" w:rsidR="002F218E" w:rsidRDefault="002F218E" w:rsidP="002F218E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已调整表述，不再过多赘述原型</w:t>
      </w:r>
    </w:p>
  </w:comment>
  <w:comment w:id="8" w:author="作者" w:date="2026-07-22T09:31:00Z" w:initials="A">
    <w:p w14:paraId="2E26FFFA" w14:textId="77777777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一般是写你的项目对应的技术路线，座椅查论文这些不是技术路线。只是工作的必要组成部分。</w:t>
      </w:r>
    </w:p>
    <w:p w14:paraId="3A907EB1" w14:textId="77777777" w:rsidR="00A40740" w:rsidRDefault="00A40740">
      <w:pPr>
        <w:pStyle w:val="a3"/>
      </w:pPr>
    </w:p>
    <w:p w14:paraId="2EA967CA" w14:textId="5459114F" w:rsidR="00A40740" w:rsidRDefault="00A40740">
      <w:pPr>
        <w:pStyle w:val="a3"/>
      </w:pPr>
      <w:r>
        <w:rPr>
          <w:rFonts w:hint="eastAsia"/>
        </w:rPr>
        <w:t>我觉得你的技术路线应该是有</w:t>
      </w:r>
      <w:r>
        <w:rPr>
          <w:rFonts w:hint="eastAsia"/>
        </w:rPr>
        <w:t>AIGC</w:t>
      </w:r>
      <w:r>
        <w:rPr>
          <w:rFonts w:hint="eastAsia"/>
        </w:rPr>
        <w:t>驱动的工作流吧，这个看起来是传统的工作流，不尽合理吧。</w:t>
      </w:r>
    </w:p>
  </w:comment>
  <w:comment w:id="9" w:author="作者" w:date="2026-07-23T08:33:00Z" w:initials="A">
    <w:p w14:paraId="191BA018" w14:textId="77777777" w:rsidR="002F218E" w:rsidRDefault="002F218E" w:rsidP="002F218E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已修正视角，以</w:t>
      </w:r>
      <w:r>
        <w:rPr>
          <w:rFonts w:hint="eastAsia"/>
        </w:rPr>
        <w:t>AI</w:t>
      </w:r>
      <w:r>
        <w:rPr>
          <w:rFonts w:hint="eastAsia"/>
        </w:rPr>
        <w:t>为中心叙述工作流</w:t>
      </w:r>
    </w:p>
  </w:comment>
  <w:comment w:id="10" w:author="作者" w:date="2026-07-22T09:28:00Z" w:initials="A">
    <w:p w14:paraId="21A8E41F" w14:textId="3DCB5C74" w:rsidR="00A40740" w:rsidRDefault="00A40740">
      <w:pPr>
        <w:pStyle w:val="a3"/>
      </w:pPr>
      <w:r>
        <w:rPr>
          <w:rStyle w:val="aa"/>
        </w:rPr>
        <w:annotationRef/>
      </w:r>
      <w:r>
        <w:rPr>
          <w:rFonts w:hint="eastAsia"/>
        </w:rPr>
        <w:t>这里我看已经是基于原有的框架设计下的很具体的工作了。从毕业设计的角度，你要从开发过程的核心要素来展开。比如需求与</w:t>
      </w:r>
      <w:r>
        <w:rPr>
          <w:rFonts w:hint="eastAsia"/>
        </w:rPr>
        <w:t>UE</w:t>
      </w:r>
      <w:r>
        <w:rPr>
          <w:rFonts w:hint="eastAsia"/>
        </w:rPr>
        <w:t>核心原型，架构设计，实现与测试中的问题。把下面的技术路线中的每个环节的核心问题列出来即可</w:t>
      </w:r>
    </w:p>
  </w:comment>
  <w:comment w:id="11" w:author="作者" w:date="2026-07-23T08:33:00Z" w:initials="A">
    <w:p w14:paraId="768B5AAD" w14:textId="77777777" w:rsidR="002F218E" w:rsidRDefault="002F218E" w:rsidP="002F218E">
      <w:pPr>
        <w:pStyle w:val="a3"/>
      </w:pPr>
      <w:r>
        <w:rPr>
          <w:rStyle w:val="aa"/>
        </w:rPr>
        <w:annotationRef/>
      </w:r>
      <w:r>
        <w:rPr>
          <w:rFonts w:hint="eastAsia"/>
        </w:rPr>
        <w:t>已按需求与</w:t>
      </w:r>
      <w:r>
        <w:rPr>
          <w:rFonts w:hint="eastAsia"/>
        </w:rPr>
        <w:t>UE</w:t>
      </w:r>
      <w:r>
        <w:rPr>
          <w:rFonts w:hint="eastAsia"/>
        </w:rPr>
        <w:t>、架构与安全边界、实现集成、测试评价等开发环节重新组织。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564E9A" w15:done="0"/>
  <w15:commentEx w15:paraId="48EEC4BF" w15:paraIdParent="59564E9A" w15:done="0"/>
  <w15:commentEx w15:paraId="47FE9FB8" w15:done="0"/>
  <w15:commentEx w15:paraId="77562C25" w15:paraIdParent="47FE9FB8" w15:done="0"/>
  <w15:commentEx w15:paraId="36C49D51" w15:done="0"/>
  <w15:commentEx w15:paraId="2C318DB0" w15:paraIdParent="36C49D51" w15:done="0"/>
  <w15:commentEx w15:paraId="2EA967CA" w15:done="0"/>
  <w15:commentEx w15:paraId="191BA018" w15:paraIdParent="2EA967CA" w15:done="0"/>
  <w15:commentEx w15:paraId="21A8E41F" w15:done="0"/>
  <w15:commentEx w15:paraId="768B5AAD" w15:paraIdParent="21A8E4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9BC6BE" w16cex:dateUtc="2026-07-22T01:33:00Z"/>
  <w16cex:commentExtensible w16cex:durableId="78CDE50E" w16cex:dateUtc="2026-07-23T00:33:00Z"/>
  <w16cex:commentExtensible w16cex:durableId="58E8ED81" w16cex:dateUtc="2026-07-22T01:26:00Z"/>
  <w16cex:commentExtensible w16cex:durableId="531AF09E" w16cex:dateUtc="2026-07-23T00:33:00Z"/>
  <w16cex:commentExtensible w16cex:durableId="1F578B34" w16cex:dateUtc="2026-07-22T01:24:00Z"/>
  <w16cex:commentExtensible w16cex:durableId="6CB46032" w16cex:dateUtc="2026-07-23T00:33:00Z"/>
  <w16cex:commentExtensible w16cex:durableId="2901E34C" w16cex:dateUtc="2026-07-22T01:31:00Z"/>
  <w16cex:commentExtensible w16cex:durableId="69903D14" w16cex:dateUtc="2026-07-23T00:33:00Z"/>
  <w16cex:commentExtensible w16cex:durableId="21EA25F6" w16cex:dateUtc="2026-07-22T01:28:00Z"/>
  <w16cex:commentExtensible w16cex:durableId="026E5D95" w16cex:dateUtc="2026-07-23T0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564E9A" w16cid:durableId="349BC6BE"/>
  <w16cid:commentId w16cid:paraId="48EEC4BF" w16cid:durableId="78CDE50E"/>
  <w16cid:commentId w16cid:paraId="47FE9FB8" w16cid:durableId="58E8ED81"/>
  <w16cid:commentId w16cid:paraId="77562C25" w16cid:durableId="531AF09E"/>
  <w16cid:commentId w16cid:paraId="36C49D51" w16cid:durableId="1F578B34"/>
  <w16cid:commentId w16cid:paraId="2C318DB0" w16cid:durableId="6CB46032"/>
  <w16cid:commentId w16cid:paraId="2EA967CA" w16cid:durableId="2901E34C"/>
  <w16cid:commentId w16cid:paraId="191BA018" w16cid:durableId="69903D14"/>
  <w16cid:commentId w16cid:paraId="21A8E41F" w16cid:durableId="21EA25F6"/>
  <w16cid:commentId w16cid:paraId="768B5AAD" w16cid:durableId="026E5D9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AD7F0" w14:textId="77777777" w:rsidR="0047401A" w:rsidRDefault="0047401A" w:rsidP="00BD5CB9">
      <w:r>
        <w:separator/>
      </w:r>
    </w:p>
  </w:endnote>
  <w:endnote w:type="continuationSeparator" w:id="0">
    <w:p w14:paraId="2B7E0A5E" w14:textId="77777777" w:rsidR="0047401A" w:rsidRDefault="0047401A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A4583" w14:textId="77777777" w:rsidR="0047401A" w:rsidRDefault="0047401A" w:rsidP="00BD5CB9">
      <w:r>
        <w:separator/>
      </w:r>
    </w:p>
  </w:footnote>
  <w:footnote w:type="continuationSeparator" w:id="0">
    <w:p w14:paraId="14966095" w14:textId="77777777" w:rsidR="0047401A" w:rsidRDefault="0047401A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770B2"/>
    <w:rsid w:val="000817F3"/>
    <w:rsid w:val="000B7DDC"/>
    <w:rsid w:val="00270A1E"/>
    <w:rsid w:val="002727D9"/>
    <w:rsid w:val="002750D0"/>
    <w:rsid w:val="002B5334"/>
    <w:rsid w:val="002F218E"/>
    <w:rsid w:val="003255BF"/>
    <w:rsid w:val="0034204C"/>
    <w:rsid w:val="0036220C"/>
    <w:rsid w:val="003A0347"/>
    <w:rsid w:val="0040411B"/>
    <w:rsid w:val="00424B1F"/>
    <w:rsid w:val="00434C48"/>
    <w:rsid w:val="0047401A"/>
    <w:rsid w:val="004B7B92"/>
    <w:rsid w:val="004E4F6B"/>
    <w:rsid w:val="004F47CF"/>
    <w:rsid w:val="00586783"/>
    <w:rsid w:val="00590B4F"/>
    <w:rsid w:val="00593FE7"/>
    <w:rsid w:val="005A45A0"/>
    <w:rsid w:val="00670EAD"/>
    <w:rsid w:val="0069141A"/>
    <w:rsid w:val="006A53BA"/>
    <w:rsid w:val="006B516A"/>
    <w:rsid w:val="006D45A5"/>
    <w:rsid w:val="0071174E"/>
    <w:rsid w:val="0073284D"/>
    <w:rsid w:val="00751AD1"/>
    <w:rsid w:val="0082366F"/>
    <w:rsid w:val="008414FC"/>
    <w:rsid w:val="0086686F"/>
    <w:rsid w:val="00894091"/>
    <w:rsid w:val="008A588B"/>
    <w:rsid w:val="008A79A1"/>
    <w:rsid w:val="008E69D6"/>
    <w:rsid w:val="0090353D"/>
    <w:rsid w:val="0091595A"/>
    <w:rsid w:val="0092543E"/>
    <w:rsid w:val="0093725D"/>
    <w:rsid w:val="00962A68"/>
    <w:rsid w:val="009776AA"/>
    <w:rsid w:val="00982328"/>
    <w:rsid w:val="009F62CA"/>
    <w:rsid w:val="00A40740"/>
    <w:rsid w:val="00A55111"/>
    <w:rsid w:val="00A6414E"/>
    <w:rsid w:val="00B37F18"/>
    <w:rsid w:val="00BD3118"/>
    <w:rsid w:val="00BD5CB9"/>
    <w:rsid w:val="00C3287F"/>
    <w:rsid w:val="00C41EEE"/>
    <w:rsid w:val="00CB7754"/>
    <w:rsid w:val="00CE366F"/>
    <w:rsid w:val="00D649B4"/>
    <w:rsid w:val="00DC665E"/>
    <w:rsid w:val="00DE495E"/>
    <w:rsid w:val="00E34801"/>
    <w:rsid w:val="00EE09EF"/>
    <w:rsid w:val="00F22511"/>
    <w:rsid w:val="00F25DFF"/>
    <w:rsid w:val="00FB56E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426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</w:style>
  <w:style w:type="paragraph" w:styleId="a5">
    <w:name w:val="footer"/>
    <w:basedOn w:val="a"/>
    <w:link w:val="a6"/>
    <w:uiPriority w:val="99"/>
    <w:unhideWhenUsed/>
    <w:pPr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6">
    <w:name w:val="页脚 字符"/>
    <w:basedOn w:val="a0"/>
    <w:link w:val="a5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8">
    <w:name w:val="页眉 字符"/>
    <w:basedOn w:val="a0"/>
    <w:link w:val="a7"/>
    <w:uiPriority w:val="99"/>
    <w:rPr>
      <w:rFonts w:eastAsia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Revision"/>
    <w:hidden/>
    <w:uiPriority w:val="99"/>
    <w:unhideWhenUsed/>
    <w:rsid w:val="00BD5CB9"/>
    <w:rPr>
      <w:rFonts w:eastAsia="宋体"/>
      <w:sz w:val="21"/>
      <w:szCs w:val="21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A40740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A40740"/>
    <w:rPr>
      <w:rFonts w:eastAsia="宋体"/>
      <w:sz w:val="21"/>
      <w:szCs w:val="21"/>
    </w:rPr>
  </w:style>
  <w:style w:type="character" w:customStyle="1" w:styleId="ad">
    <w:name w:val="批注主题 字符"/>
    <w:basedOn w:val="a4"/>
    <w:link w:val="ac"/>
    <w:uiPriority w:val="99"/>
    <w:semiHidden/>
    <w:rsid w:val="00A40740"/>
    <w:rPr>
      <w:rFonts w:eastAsia="宋体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3778</Words>
  <Characters>7180</Characters>
  <Application>Microsoft Office Word</Application>
  <DocSecurity>0</DocSecurity>
  <Lines>179</Lines>
  <Paragraphs>138</Paragraphs>
  <ScaleCrop>false</ScaleCrop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2026-07-22T20:56:00Z</dcterms:created>
  <dcterms:modified xsi:type="dcterms:W3CDTF">2026-07-23T00:36:00Z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