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7A8E4D">
      <w:pPr>
        <w:pStyle w:val="14"/>
      </w:pPr>
      <w:r>
        <w:rPr>
          <w:rFonts w:hint="eastAsia"/>
        </w:rPr>
        <w:t>窗体顶端</w:t>
      </w:r>
    </w:p>
    <w:p w14:paraId="1DB21DB4">
      <w:pPr>
        <w:pStyle w:val="2"/>
        <w:spacing w:before="120" w:after="120" w:line="240" w:lineRule="auto"/>
        <w:jc w:val="center"/>
      </w:pPr>
      <w:r>
        <w:rPr>
          <w:rFonts w:hint="eastAsia" w:ascii="黑体" w:hAnsi="黑体" w:eastAsia="黑体"/>
          <w:sz w:val="36"/>
          <w:szCs w:val="36"/>
        </w:rPr>
        <w:t>毕业论文（设计）任务书</w:t>
      </w:r>
      <w:r>
        <w:t xml:space="preserve"> </w:t>
      </w:r>
    </w:p>
    <w:tbl>
      <w:tblPr>
        <w:tblStyle w:val="8"/>
        <w:tblW w:w="10365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46"/>
        <w:gridCol w:w="434"/>
        <w:gridCol w:w="942"/>
        <w:gridCol w:w="665"/>
        <w:gridCol w:w="1124"/>
        <w:gridCol w:w="544"/>
        <w:gridCol w:w="753"/>
        <w:gridCol w:w="2213"/>
        <w:gridCol w:w="794"/>
        <w:gridCol w:w="1550"/>
      </w:tblGrid>
      <w:tr w14:paraId="18FD7A66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>
            <w:pPr>
              <w:jc w:val="center"/>
            </w:pPr>
            <w:bookmarkStart w:id="0" w:name="_Toc180459427"/>
            <w:bookmarkEnd w:id="0"/>
            <w:bookmarkStart w:id="1" w:name="_Toc180398981"/>
            <w:r>
              <w:rPr>
                <w:rFonts w:hint="eastAsia" w:ascii="黑体" w:hAnsi="黑体" w:eastAsia="黑体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szCs w:val="28"/>
              </w:rPr>
              <w:t xml:space="preserve">  曹志隆</w:t>
            </w:r>
          </w:p>
        </w:tc>
        <w:tc>
          <w:tcPr>
            <w:tcW w:w="66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学号 </w:t>
            </w:r>
          </w:p>
        </w:tc>
        <w:tc>
          <w:tcPr>
            <w:tcW w:w="112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>
            <w:pPr>
              <w:spacing w:line="240" w:lineRule="exact"/>
              <w:jc w:val="center"/>
            </w:pPr>
            <w:r>
              <w:rPr>
                <w:rFonts w:hint="eastAsia"/>
              </w:rPr>
              <w:t>软件工程2304</w:t>
            </w:r>
          </w:p>
        </w:tc>
        <w:tc>
          <w:tcPr>
            <w:tcW w:w="79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>
            <w:pPr>
              <w:spacing w:line="240" w:lineRule="exact"/>
              <w:jc w:val="center"/>
            </w:pPr>
            <w:r>
              <w:rPr>
                <w:rFonts w:hint="eastAsia"/>
                <w:szCs w:val="28"/>
              </w:rPr>
              <w:t>13868360863</w:t>
            </w:r>
          </w:p>
        </w:tc>
      </w:tr>
      <w:tr w14:paraId="441D17C6">
        <w:trPr>
          <w:trHeight w:val="60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>
            <w:pPr>
              <w:spacing w:line="240" w:lineRule="exact"/>
              <w:jc w:val="center"/>
            </w:pPr>
            <w:commentRangeStart w:id="0"/>
            <w:commentRangeStart w:id="1"/>
            <w:commentRangeStart w:id="2"/>
            <w:r>
              <w:rPr>
                <w:rFonts w:hint="eastAsia"/>
                <w:szCs w:val="28"/>
              </w:rPr>
              <w:t>面向超级个体的AIGC协作开发工作流平台设计与实现</w:t>
            </w:r>
            <w:commentRangeEnd w:id="0"/>
            <w:r>
              <w:rPr>
                <w:rStyle w:val="10"/>
              </w:rPr>
              <w:commentReference w:id="0"/>
            </w:r>
            <w:commentRangeEnd w:id="1"/>
            <w:r>
              <w:rPr>
                <w:rStyle w:val="10"/>
              </w:rPr>
              <w:commentReference w:id="1"/>
            </w:r>
            <w:commentRangeEnd w:id="2"/>
            <w:r>
              <w:commentReference w:id="2"/>
            </w:r>
          </w:p>
        </w:tc>
      </w:tr>
      <w:tr w14:paraId="13E62E0E">
        <w:trPr>
          <w:trHeight w:val="76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>
            <w:pPr>
              <w:spacing w:line="240" w:lineRule="exact"/>
              <w:jc w:val="center"/>
            </w:pPr>
            <w:r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14:paraId="30F6CB7D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职称 </w:t>
            </w:r>
          </w:p>
        </w:tc>
        <w:tc>
          <w:tcPr>
            <w:tcW w:w="1124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>
            <w:pPr>
              <w:spacing w:line="240" w:lineRule="exact"/>
              <w:jc w:val="center"/>
            </w:pPr>
            <w:r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szCs w:val="28"/>
              </w:rPr>
              <w:t>13071858629</w:t>
            </w:r>
          </w:p>
        </w:tc>
      </w:tr>
      <w:tr w14:paraId="278B391C">
        <w:trPr>
          <w:trHeight w:val="510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职称 </w:t>
            </w:r>
          </w:p>
        </w:tc>
        <w:tc>
          <w:tcPr>
            <w:tcW w:w="1124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电话 </w:t>
            </w:r>
          </w:p>
        </w:tc>
        <w:tc>
          <w:tcPr>
            <w:tcW w:w="1550" w:type="dxa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>
            <w:pPr>
              <w:spacing w:line="240" w:lineRule="exact"/>
              <w:jc w:val="center"/>
            </w:pPr>
          </w:p>
        </w:tc>
      </w:tr>
      <w:tr w14:paraId="3E78328F">
        <w:trPr>
          <w:trHeight w:val="454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    □理论研究    □实验研究    □产品开发</w:t>
            </w:r>
          </w:p>
          <w:p w14:paraId="42973926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    □专题研究    □应用研究    □其他</w:t>
            </w:r>
          </w:p>
        </w:tc>
      </w:tr>
      <w:tr w14:paraId="28934B53">
        <w:trPr>
          <w:trHeight w:val="1521" w:hRule="atLeast"/>
          <w:jc w:val="center"/>
        </w:trPr>
        <w:tc>
          <w:tcPr>
            <w:tcW w:w="1346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    □国家社科规划、基金项目    □国家自然科学基金项目</w:t>
            </w:r>
          </w:p>
          <w:p w14:paraId="3A499DCD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    □教育部人文、社会科学研究项目    □省（自治区、直辖市）项目</w:t>
            </w:r>
          </w:p>
          <w:p w14:paraId="2DEFC489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    □港、澳、台合作研究项目    □企、事业单位委托项目    □外资项目</w:t>
            </w:r>
          </w:p>
          <w:p w14:paraId="2C35D759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    √学校自选项目    □非立项    □其他</w:t>
            </w:r>
          </w:p>
        </w:tc>
      </w:tr>
      <w:tr w14:paraId="3FA4B3DE">
        <w:trPr>
          <w:trHeight w:val="510" w:hRule="atLeast"/>
          <w:jc w:val="center"/>
        </w:trPr>
        <w:tc>
          <w:tcPr>
            <w:tcW w:w="8022" w:type="dxa"/>
            <w:gridSpan w:val="8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>
            <w:pPr>
              <w:spacing w:line="240" w:lineRule="exact"/>
              <w:jc w:val="center"/>
            </w:pPr>
            <w:r>
              <w:rPr>
                <w:rFonts w:hint="eastAsia"/>
              </w:rPr>
              <w:t>√是    □否</w:t>
            </w:r>
          </w:p>
        </w:tc>
      </w:tr>
      <w:tr w14:paraId="634E9FD9">
        <w:trPr>
          <w:trHeight w:val="510" w:hRule="atLeast"/>
          <w:jc w:val="center"/>
        </w:trPr>
        <w:tc>
          <w:tcPr>
            <w:tcW w:w="2718" w:type="dxa"/>
            <w:gridSpan w:val="3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14:paraId="108E2C01">
        <w:trPr>
          <w:trHeight w:val="554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>
            <w:pPr>
              <w:jc w:val="center"/>
            </w:pPr>
            <w:r>
              <w:rPr>
                <w:rFonts w:hint="eastAsia" w:ascii="黑体" w:hAnsi="黑体" w:eastAsia="黑体"/>
              </w:rPr>
              <w:t xml:space="preserve">工作进度安排周次 </w:t>
            </w:r>
          </w:p>
        </w:tc>
      </w:tr>
      <w:tr w14:paraId="6CFEEFF4">
        <w:trPr>
          <w:trHeight w:val="203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>
            <w:pPr>
              <w:spacing w:line="240" w:lineRule="exact"/>
              <w:jc w:val="center"/>
            </w:pPr>
            <w:r>
              <w:rPr>
                <w:rFonts w:hint="eastAsia"/>
              </w:rPr>
              <w:t>第5周（第七学期）至第7周（第七学期）</w:t>
            </w:r>
          </w:p>
        </w:tc>
      </w:tr>
      <w:tr w14:paraId="5BB1679D">
        <w:trPr>
          <w:trHeight w:val="525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>
            <w:pPr>
              <w:spacing w:line="240" w:lineRule="exact"/>
              <w:jc w:val="center"/>
            </w:pPr>
            <w:r>
              <w:rPr>
                <w:rFonts w:hint="eastAsia"/>
              </w:rPr>
              <w:t>第8周（第七学期）至第12周（第七学期）</w:t>
            </w:r>
          </w:p>
        </w:tc>
      </w:tr>
      <w:tr w14:paraId="1E974A24">
        <w:trPr>
          <w:trHeight w:val="472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>
            <w:pPr>
              <w:spacing w:line="240" w:lineRule="exact"/>
              <w:jc w:val="center"/>
            </w:pPr>
            <w:r>
              <w:rPr>
                <w:rFonts w:hint="eastAsia"/>
              </w:rPr>
              <w:t>第13周（第七学期）至第17周（第七学期）</w:t>
            </w:r>
          </w:p>
        </w:tc>
      </w:tr>
      <w:tr w14:paraId="51DB1B32">
        <w:trPr>
          <w:trHeight w:val="273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>
            <w:pPr>
              <w:spacing w:line="240" w:lineRule="exact"/>
              <w:jc w:val="center"/>
            </w:pPr>
            <w:r>
              <w:rPr>
                <w:rFonts w:hint="eastAsia"/>
              </w:rPr>
              <w:t>第1周（第八学期）至第7周（第八学期）</w:t>
            </w:r>
          </w:p>
        </w:tc>
      </w:tr>
      <w:tr w14:paraId="0424C6C2">
        <w:trPr>
          <w:trHeight w:val="300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>
            <w:pPr>
              <w:spacing w:line="240" w:lineRule="exact"/>
              <w:jc w:val="center"/>
            </w:pPr>
            <w:r>
              <w:rPr>
                <w:rFonts w:hint="eastAsia"/>
              </w:rPr>
              <w:t>第8周（第八学期）至第12周（第八学期）</w:t>
            </w:r>
          </w:p>
        </w:tc>
      </w:tr>
      <w:tr w14:paraId="28D72FDE">
        <w:trPr>
          <w:trHeight w:val="285" w:hRule="atLeast"/>
          <w:jc w:val="center"/>
        </w:trPr>
        <w:tc>
          <w:tcPr>
            <w:tcW w:w="1778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color="auto" w:sz="6" w:space="0"/>
              <w:left w:val="nil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>
            <w:pPr>
              <w:spacing w:line="240" w:lineRule="exact"/>
              <w:jc w:val="center"/>
            </w:pPr>
            <w:r>
              <w:rPr>
                <w:rFonts w:hint="eastAsia"/>
              </w:rPr>
              <w:t>第12周（第八学期）至第15周（第八学期）</w:t>
            </w:r>
          </w:p>
        </w:tc>
      </w:tr>
      <w:tr w14:paraId="513AEE42">
        <w:trPr>
          <w:trHeight w:val="1086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>
            <w:r>
              <w:rPr>
                <w:rFonts w:hint="eastAsia" w:ascii="黑体" w:hAnsi="黑体" w:eastAsia="黑体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14:paraId="7ECB263C">
        <w:trPr>
          <w:trHeight w:val="2320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A78F4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AD6C251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1、开题报告和文献阅读</w:t>
            </w:r>
          </w:p>
          <w:p w14:paraId="379C9159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（1）文献阅读：查阅文献15篇（含）以上，其中外文文献2篇（含）以上，近三年公开发表的文献5篇（含）以上，书籍不超过3本，期刊（[J]）和论文集（[C]）10篇（含）以上，包括导师指定的全部参考文献。</w:t>
            </w:r>
          </w:p>
          <w:p w14:paraId="46AED2C9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（2）外文翻译：3000字以上。</w:t>
            </w:r>
          </w:p>
          <w:p w14:paraId="19739D42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（3）文献综述：3000字以上，包括国内外研究现状、研究方向、进展情况、存在问题和参考依据等。</w:t>
            </w:r>
          </w:p>
          <w:p w14:paraId="14E3A164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（4）开题报告：3000字以上，包括选题的意义、可行性分析、研究内容、研究方法、拟解决的关键问题、预期结果和研究进度计划等。</w:t>
            </w:r>
          </w:p>
          <w:p w14:paraId="25A2174D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2、论文：10000字以上，包括绪论、正文、结论、参考文献等。法学、人文、经管类专业8000字以上，特殊专业应满足分院根据培养目标另行制定的相应要求。</w:t>
            </w:r>
          </w:p>
          <w:p w14:paraId="6E612C9E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3、课题要解决的主要问题和具体要求（填写如下）：</w:t>
            </w:r>
          </w:p>
          <w:p w14:paraId="214334DB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一、课题定位与目标</w:t>
            </w:r>
          </w:p>
          <w:p w14:paraId="021EC957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本课题选择独立开发者/小型开发团队维护软件项目作为具体业务场景，设计并实现一个人工智能生成内容（Artificial Intelligence Generated Content，AIGC）协作开发工作流平台。平台以项目目标、需求资料、代码仓库、决策记录和验收标准为事实输入，通过模型上下文协议（Model Context Protocol，MCP）连接代码智能体、Git/GitHub及测试工具，把需求澄清、任务规划、代码执行、人工审查、测试和交付组织为可编辑、可执行、可追溯的工程闭环。</w:t>
            </w:r>
          </w:p>
          <w:p w14:paraId="6F6F4B25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毕业设计以可运行平台原型和工程验证结果为主要成果。评价维度按照“与课题目标直接对应、相互边界清晰、能够取得可验证证据”三项原则确定。依据软件产品质量、人机协作、AI风险治理和平台工程研究，选择五个核心维度：（1）任务有效性，考察验收条件、需求覆盖和范围偏离；（2）工程产物质量，考察测试、缺陷返工、可维护性和安全问题；（3）人机协作与可控性，考察状态理解、澄清、审批、审查、撤销和人工接管；（4）过程可信与可追溯性，考察证据链、权限审批、复现恢复和敏感信息保护；（5）平台工程能力，考察可靠性、MCP互操作、Runner可替换性、工具集成和部署能力。五个维度分别回答任务是否做对、产物是否合格、用户能否控制AI、过程能否审计追溯以及平台能否可靠运行，并可由需求追踪、测试报告、交互事件、Trace/Asset和部署验证提供证据。</w:t>
            </w:r>
          </w:p>
          <w:p w14:paraId="36EAC146">
            <w:pPr>
              <w:pStyle w:val="6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同时选择不将研发效能与资源效率列为核心维度，是因为真实AI开发任务难以等价，模型版本、随机输出和多智能体并行又使耗时、Token、重试与费用难以公平比较和归因；相关数据仅用于案例复盘和运行诊断，不据此宣称平台具有普遍的效率或成本优势。</w:t>
            </w:r>
          </w:p>
          <w:p w14:paraId="58C5BBAB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3"/>
            <w:commentRangeStart w:id="4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二、主要交付内容</w:t>
            </w:r>
            <w:commentRangeEnd w:id="3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3"/>
            </w:r>
            <w:commentRangeEnd w:id="4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4"/>
            </w:r>
          </w:p>
          <w:p w14:paraId="7B9F0ABC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（1）需求规格与用户体验（User Experience，UE）核心原型。依据</w:t>
            </w:r>
            <w:commentRangeStart w:id="5"/>
            <w:commentRangeStart w:id="6"/>
            <w:r>
              <w:rPr>
                <w:rFonts w:hint="eastAsia" w:ascii="Times New Roman" w:hAnsi="Times New Roman" w:cs="Times New Roman"/>
                <w:sz w:val="19"/>
                <w:szCs w:val="21"/>
              </w:rPr>
              <w:t>项目现有核心想法、开发计划和Focus OS界面规范</w:t>
            </w:r>
            <w:commentRangeEnd w:id="5"/>
            <w:r>
              <w:rPr>
                <w:rStyle w:val="10"/>
                <w:rFonts w:hint="eastAsia" w:ascii="Times New Roman" w:hAnsi="Times New Roman" w:cs="Times New Roman"/>
                <w:sz w:val="19"/>
              </w:rPr>
              <w:commentReference w:id="5"/>
            </w:r>
            <w:commentRangeEnd w:id="6"/>
            <w:r>
              <w:rPr>
                <w:rStyle w:val="10"/>
                <w:rFonts w:hint="eastAsia" w:ascii="Times New Roman" w:hAnsi="Times New Roman" w:cs="Times New Roman"/>
                <w:sz w:val="19"/>
              </w:rPr>
              <w:commentReference w:id="6"/>
            </w: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，形成独立开发者/小型团队的典型用户旅程、功能范围、异常场景和验收标准；完成项目创建或导入、Project Brief确认、工作流成果视图与完整流程、Task工作区、Assist协作、审批、Diff Review、资产和交付结果等核心界面原型。</w:t>
            </w:r>
          </w:p>
          <w:p w14:paraId="5FDEEBA8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（2）工作流与项目上下文模块。采用“Project—Workflow—Workstream—Task”层级，把Project Brief中的功能、里程碑、风险和验收条件映射到可独立验收的任务；用Node Contract声明任务目标、输入、输出、允许工具和验收标准。AIGC生成候选工作流，确定性校验器检查依赖、需求覆盖和资产流，用户确认后形成正式版本；任务执行前由系统从显式输入、直接依赖、项目决策和仓库快照构建结构化上下文包（Context Pack）。</w:t>
            </w:r>
          </w:p>
          <w:p w14:paraId="6AF10DAF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（3）MCP工具集成与受控执行模块。系统通过MCP能力目录和Runner Adapter接入Codex等代码智能体，页面、REST、MCP和终端入口复用同一业务服务、权限与审计规则。任务在受管Repository Workspace及隔离worktree中执行，记录命令、文件变更、工具调用和状态事件；写入、敏感操作和外部交付经过人工确认、checkpoint与Diff Review，凭据不进入Context Pack、Trace或前端响应。</w:t>
            </w:r>
          </w:p>
          <w:p w14:paraId="5F75596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（4）资产证据与工程交付模块。将需求、决策、代码变更、测试报告和交付记录保存为带版本和来源关系的Asset，使用Trace、Workspace Digest、内容哈希及证明记录关联任务输入、执行过程与输出。验收通过后形成Git提交或Draft Pull Request，并以需求追踪、工程产物、人工决策、过程证据和平台测试数据支撑五维评价；任务耗时、模型用量、工具调用和重试只作为具体运行的描述与诊断信息。</w:t>
            </w:r>
          </w:p>
          <w:p w14:paraId="218178E1">
            <w:pPr>
              <w:pStyle w:val="6"/>
              <w:keepNext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7"/>
            <w:commentRangeStart w:id="8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三、基本技术路线</w:t>
            </w:r>
            <w:commentRangeEnd w:id="7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7"/>
            </w:r>
            <w:commentRangeEnd w:id="8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8"/>
            </w:r>
          </w:p>
          <w:p w14:paraId="2A66738D">
            <w:pPr>
              <w:pStyle w:val="6"/>
              <w:spacing w:before="0" w:after="0" w:line="224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系统采用“AIGC编排层+确定性控制层”的双层技术架构：AIGC负责根据目标动态规划任务、选择工具、观察结果并决定是否修正或重规划；Node.js控制层负责权限、状态持久化、结构校验、审批和安全边界。</w:t>
            </w:r>
          </w:p>
          <w:p w14:paraId="3AA7C101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（1）目标与上下文建模：将用户目标、Project Brief、需求资料、代码仓库快照、约束条件和验收标准组织为结构化输入，并建立MCP能力目录，使AI能够同时理解“要完成什么、当前项目是什么状态、可以调用哪些能力”。</w:t>
            </w:r>
          </w:p>
          <w:p w14:paraId="68FD397B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（2）动态工作流生成：由LLM Orchestrator依据目标和上下文执行Plan-and-Execute规划，动态生成Workstream/Task组成的DAG、依赖关系、输入输出和验收标准，而不是预置固定节点。确定性校验器检查DAG无环、需求覆盖、依赖完整和能力可用性，用户确认后形成正式工作流。</w:t>
            </w:r>
          </w:p>
          <w:p w14:paraId="039BE947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智能体任务与MCP编排：每个Task作为具有目标、上下文、可用工具和完成条件的智能体任务。AIGC根据当前计划和执行观察自主选择MCP工具、代码执行器及调用顺序；Node.js后端提供统一能力入口和执行约束，不硬编码每类任务的业务路径。</w:t>
            </w:r>
          </w:p>
          <w:p w14:paraId="5C9DBD70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（4）动态Context Pack与记忆组织：执行前按Task从显式输入、直接依赖、项目决策、相关代码和仓库快照中检索、压缩并组装最小充分Context Pack；上下文随任务和版本动态更新，避免把全部历史对话直接塞给模型，并降低信息遗漏、冲突和上下文漂移。</w:t>
            </w:r>
          </w:p>
          <w:p w14:paraId="3C1C12C9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5）执行、反思与自我修正：采用“Plan—Execute—Observe—Reflect”循环，智能体执行工具或修改代码后读取测试、命令和错误结果，在限定次数内反思原因并修正；当目标、依赖或验收条件发生变化时生成重规划提案，超过重试上限、置信度不足或涉及高风险操作时转交人工处理。</w:t>
            </w:r>
          </w:p>
          <w:p w14:paraId="32083973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（6）人机协同与确定性治理：用户负责确认目标、正式工作流、高风险写入和最终交付，并通过审批、Diff Review、撤销和人工接管保持控制。受管worktree、权限校验、凭据隔离、幂等和失败恢复约束智能体行为；这些机制提供安全边界，但不替代AIGC的动态规划与工具决策。</w:t>
            </w:r>
          </w:p>
          <w:p w14:paraId="61107AF2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（7）分层测试与AI Eval：对权限、状态、接口、数据和安全边界继续执行单元、集成、端到端、故障和安全测试；对动态工作流、工具选择、上下文构造、反思和重规划建立版本化Eval场景集。在固定Brief、仓库快照、模型、Prompt和能力集合下重复运行，评价需求覆盖、DAG有效性与可执行性、工具选择正确性、验收通过、范围偏离及自我修正结果；Prompt、模型或编排策略变化后执行回归Eval并报告波动和局限。</w:t>
            </w:r>
          </w:p>
          <w:p w14:paraId="306481D7">
            <w:pPr>
              <w:pStyle w:val="6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（8）集成部署与迭代优化：集成Codex、MCP、Git/GitHub和Docker，完成代表性软件任务及异常场景验证；依据Eval、自动化测试和人工审查结果迭代Prompt模板、规划器、Context Pack选择策略、工具权限、停止条件和交互方式，最终完成可运行原型、部署文档、测试与评测报告。</w:t>
            </w:r>
          </w:p>
          <w:p w14:paraId="4CF48908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commentRangeStart w:id="9"/>
            <w:commentRangeStart w:id="10"/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四、核心工程问题与处理重点</w:t>
            </w:r>
            <w:commentRangeEnd w:id="9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9"/>
            </w:r>
            <w:commentRangeEnd w:id="10"/>
            <w:r>
              <w:rPr>
                <w:rStyle w:val="10"/>
                <w:rFonts w:ascii="Times New Roman" w:hAnsi="Times New Roman" w:cs="Times New Roman"/>
                <w:b/>
                <w:sz w:val="19"/>
              </w:rPr>
              <w:commentReference w:id="10"/>
            </w:r>
          </w:p>
          <w:p w14:paraId="194C198A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（1）需求与UE核心原型的范围一致性。Project Brief作为需求基线，功能、验收条件、里程碑和风险均需映射到负责的Workstream/Task；界面同时呈现目标、依据、执行状态、阻塞原因和人工决策入口，使用户能够理解并控制AIGC工作过程。</w:t>
            </w:r>
          </w:p>
          <w:p w14:paraId="1EADDB8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（2）架构设计中的上下文主权与组件可替换性。项目上下文、资产、决策和Trace由平台持有，代码智能体只消费按任务组装的Context Pack；Runner Adapter和MCP能力目录隔离具体模型及工具差异，REST、MCP和网页入口统一调用领域服务。</w:t>
            </w:r>
          </w:p>
          <w:p w14:paraId="4D515A77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实现集成中的执行边界与状态一致性。外部代码源保持只读，写操作限定在受管checkout/worktree；权限、路径、敏感信息、写锁、幂等、checkpoint、失败恢复和仓库快照共同约束长任务执行，避免并发覆盖、重复交付和越权访问。</w:t>
            </w:r>
          </w:p>
          <w:p w14:paraId="2E9BCCD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测试评价中的证据充分性与结论边界。采用标准化系统测试和代表性场景案例，分别验证功能验收、产物质量、人工控制、证据追溯和平台可靠性。案例可记录耗时、Token、重试和人工决策，用于还原执行过程和识别运行开销。</w:t>
            </w:r>
          </w:p>
          <w:p w14:paraId="63435742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五、开发过程与进度要求</w:t>
            </w:r>
          </w:p>
          <w:p w14:paraId="1E5AAAAC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（1）需求与UE原型阶段：以核心想法、愿景范围、开发计划和现有界面规范为输入，完成场景边界、用户旅程、需求规格、非功能要求、信息架构和可交互原型，并建立需求到验收标准的追踪表。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E68A566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（2）架构与最小闭环阶段：完成领域模型、模块边界、接口、权限和数据方案，优先跑通“Project Brief—Workflow—Task—Context Pack—受控执行—Diff Review—测试—交付”的最小闭环。</w:t>
            </w:r>
          </w:p>
          <w:p w14:paraId="11A14502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（3）实现集成与质量加固阶段：分阶段接入Codex Runner、MCP、受管仓库、资产证据和Git/GitHub交付；每个增量配置单元、集成和端到端测试，并覆盖路径隔离、敏感信息、幂等、审批、回滚和异常恢复。</w:t>
            </w:r>
          </w:p>
          <w:p w14:paraId="529373E5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场景验证与成果交付阶段：选择具有代表性的功能增量和异常处理场景，验证平台闭环及五维评价要求；根据测试、可用性与案例证据优化工作流、上下文和交互，运行时间与模型用量只作案例说明，最终完成部署包、源代码、项目文档、测试报告、场景验证报告和答辩材料。</w:t>
            </w:r>
          </w:p>
          <w:p w14:paraId="78C65F84">
            <w:pPr>
              <w:pStyle w:val="6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b/>
                <w:sz w:val="19"/>
                <w:szCs w:val="21"/>
              </w:rPr>
              <w:t>六、预期成果与验收要求</w:t>
            </w:r>
          </w:p>
          <w:p w14:paraId="7CEB0B2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（1）提交可运行的平台原型及源代码，完整演示项目接入、Brief确认、工作流生成与校验、Task上下文构建、受控执行、人工审查、自动化测试、资产绑定和Git交付。</w:t>
            </w:r>
          </w:p>
          <w:p w14:paraId="752843B4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（2）提交需求规格、UE核心原型、系统架构与数据模型、接口说明、部署运行手册、测试用例、需求追踪矩阵和场景验证报告，关键结论可追溯到代码、测试、Trace、Asset或版本库记录。</w:t>
            </w:r>
          </w:p>
          <w:p w14:paraId="25F70E51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（3）系统通过静态检查、单元测试、集成测试和端到端测试，重点验证需求覆盖、上下文范围、权限路径、敏感信息、审批幂等、失败恢复、输出绑定和交付一致性；未执行的真实外部服务测试明确标记。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B76D280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4）至少完成两类代表性软件开发场景验证，分别覆盖功能增量和带异常或安全约束的任务；每个场景保留需求、上下文、执行、审批、Diff、测试和交付证据，按任务有效性、工程产物质量、人机协作与可控性、过程可信与可追溯性、平台工程能力报告结果及局限。涉及时间、Token和费用的数据注明任务、模型、版本、上下文与环境，仅作为描述性证据。</w:t>
            </w:r>
          </w:p>
          <w:p w14:paraId="5455DDDF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（5）平台形成需求、决策、执行、测试和交付的证据链，正式Task的必需输出全部绑定并通过验收后方可完成，代码交付包含Diff、测试结果、提交或Draft PR记录。</w:t>
            </w:r>
          </w:p>
          <w:p w14:paraId="4A537563">
            <w:pPr>
              <w:pStyle w:val="6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>
              <w:rPr>
                <w:rFonts w:hint="eastAsia" w:ascii="Times New Roman" w:hAnsi="Times New Roman" w:cs="Times New Roman"/>
                <w:sz w:val="19"/>
                <w:szCs w:val="21"/>
              </w:rPr>
              <w:t>（6）完成不少于10000字的毕业论文（设计说明书），包括绪论、相关工作、需求与UE设计、系统架构、实现、测试与工程评价、结论与展望，并按GB/T 7714—2015著录参考文献。</w:t>
            </w:r>
          </w:p>
        </w:tc>
      </w:tr>
      <w:tr w14:paraId="648B2E1A">
        <w:trPr>
          <w:trHeight w:val="769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A6AE59">
            <w:pPr>
              <w:spacing w:line="244" w:lineRule="exact"/>
              <w:rPr>
                <w:b/>
                <w:sz w:val="19"/>
              </w:rPr>
            </w:pPr>
            <w:r>
              <w:rPr>
                <w:rFonts w:hint="eastAsia"/>
                <w:b/>
                <w:sz w:val="19"/>
              </w:rPr>
              <w:t>推荐参考文献：</w:t>
            </w:r>
          </w:p>
          <w:p w14:paraId="1E0D7DFB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49EDF57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[2] BECKER J, RUSH N, CUNNINGHAM T, et al. We are changing our developer productivity experiment design[EB/OL]. (2026-02-24)[2026-07-23]. https://metr.org/blog/2026-02-24-uplift-update/.</w:t>
            </w:r>
          </w:p>
          <w:p w14:paraId="107ABECF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00EA58C7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  <w:r>
              <w:commentReference w:id="11"/>
            </w:r>
          </w:p>
          <w:p w14:paraId="6759B545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3255A1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4DEA54FE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2880C8F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CBF40F1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1688572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77A833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[11] NODA A, STOREY M A, FORSGREN N, et al. DevEx: What actually drives productivity[J]. Queue, 2023, 21(2): 35-53. DOI:10.1145/3595878.</w:t>
            </w:r>
          </w:p>
          <w:p w14:paraId="017A9F32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[12] LEE J D, SEE K A. Trust in automation: Designing for appropriate reliance[J]. Human Factors, 2004, 46(1): 50-80. DOI:10.1518/hfes.46.1.50_30392.</w:t>
            </w:r>
          </w:p>
          <w:p w14:paraId="17179F51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2F0D1DE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37D0BB9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43783C41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384D7C7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0AC9653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[18] DORA. DORA's software delivery performance metrics[EB/OL]. [2026-07-23]. https://dora.dev/guides/dora-metrics/.</w:t>
            </w:r>
          </w:p>
          <w:p w14:paraId="7BE9AD12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03226347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466D7675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3BE9CB2E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[22] INTERNATIONAL ORGANIZATION FOR STANDARDIZATION. ISO 9241-11:2018 Ergonomics of human-system interaction—Part 11: Usability: Definitions and concepts[S]. Geneva: ISO, 2018.</w:t>
            </w:r>
            <w:r>
              <w:commentReference w:id="12"/>
            </w:r>
          </w:p>
          <w:p w14:paraId="78CF08F4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24D918C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>
              <w:rPr>
                <w:sz w:val="19"/>
              </w:rPr>
              <w:t>[25] WORLD WIDE WEB CONSORTIUM. PROV-DM: The PROV data model[S/OL]. (2013-04-30)[2026-07-22]. https://www.w3.org/TR/2013/REC-prov-dm-20130430/.</w:t>
            </w:r>
          </w:p>
        </w:tc>
      </w:tr>
      <w:tr w14:paraId="5F42278E">
        <w:trPr>
          <w:trHeight w:val="1217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指导教师签名：____________________</w:t>
            </w:r>
          </w:p>
          <w:p w14:paraId="538072EC">
            <w:pPr>
              <w:wordWrap w:val="0"/>
              <w:spacing w:line="320" w:lineRule="exact"/>
            </w:pPr>
          </w:p>
          <w:p w14:paraId="7317486B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 w14:paraId="54BCEF7C">
        <w:trPr>
          <w:trHeight w:val="1217" w:hRule="atLeast"/>
          <w:jc w:val="center"/>
        </w:trPr>
        <w:tc>
          <w:tcPr>
            <w:tcW w:w="10365" w:type="dxa"/>
            <w:gridSpan w:val="10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>
            <w:pPr>
              <w:wordWrap w:val="0"/>
              <w:spacing w:line="280" w:lineRule="exact"/>
            </w:pPr>
          </w:p>
          <w:p w14:paraId="1FAED887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 同意下达任务书       □ 不同意下达任务书</w:t>
            </w:r>
          </w:p>
          <w:p w14:paraId="77758A9F">
            <w:pPr>
              <w:wordWrap w:val="0"/>
              <w:spacing w:line="280" w:lineRule="exact"/>
            </w:pPr>
          </w:p>
          <w:p w14:paraId="782F498B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负责人签名：____________________</w:t>
            </w:r>
          </w:p>
          <w:p w14:paraId="35A79F8A">
            <w:pPr>
              <w:wordWrap w:val="0"/>
              <w:spacing w:line="280" w:lineRule="exact"/>
            </w:pPr>
          </w:p>
          <w:p w14:paraId="6CDC2679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    月    日</w:t>
            </w:r>
          </w:p>
        </w:tc>
      </w:tr>
      <w:tr w14:paraId="4E87D2C5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>
      <w:r>
        <w:rPr>
          <w:rFonts w:hint="eastAsia" w:ascii="宋体" w:hAnsi="宋体"/>
          <w:sz w:val="24"/>
          <w:szCs w:val="24"/>
        </w:rPr>
        <w:t> </w:t>
      </w:r>
    </w:p>
    <w:p w14:paraId="5E91003D">
      <w:pPr>
        <w:pStyle w:val="16"/>
      </w:pPr>
      <w:r>
        <w:rPr>
          <w:rFonts w:hint="eastAsia"/>
        </w:rPr>
        <w:t>窗体底端</w:t>
      </w:r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作者" w:date="2026-07-22T09:33:00Z" w:initials="A">
    <w:p w14:paraId="59564E9A">
      <w:pPr>
        <w:pStyle w:val="3"/>
      </w:pPr>
      <w:r>
        <w:rPr>
          <w:rFonts w:hint="eastAsia"/>
        </w:rPr>
        <w:t>我觉得你的工作更偏向于应用AIGC的新模式的开发工作流，进行开源集成构建AIGC工具平台的工程项目。所以后续的应该围绕工程项目实现的基本要素展开，即范围，开发效率，开发成本，开发质量，来表明自己的产品的能力，还有用新的AIGC工作流提升开发能力的过程。</w:t>
      </w:r>
    </w:p>
  </w:comment>
  <w:comment w:id="1" w:author="作者" w:date="2026-07-23T08:33:00Z" w:initials="A">
    <w:p w14:paraId="48EEC4BF">
      <w:pPr>
        <w:pStyle w:val="3"/>
        <w:rPr>
          <w:rFonts w:hint="eastAsia"/>
        </w:rPr>
      </w:pPr>
      <w:r>
        <w:rPr>
          <w:rFonts w:hint="eastAsia"/>
        </w:rPr>
        <w:t>好的老师。之后我搜集相关信息，选择任务有效性、工程产物质量、人机协作与可控性、过程可信与可追溯性、平台工程能力五个维度，分别评价任务是否做对、产物是否合格、用户能否控制AI、过程能否审计追溯以及平台能否可靠运行。</w:t>
      </w:r>
    </w:p>
    <w:p w14:paraId="17258D24">
      <w:pPr>
        <w:pStyle w:val="3"/>
        <w:rPr>
          <w:rFonts w:hint="eastAsia"/>
        </w:rPr>
      </w:pPr>
    </w:p>
  </w:comment>
  <w:comment w:id="2" w:author="作者" w:date="2026-07-23T09:09:21Z" w:initials="A">
    <w:p w14:paraId="48AF2E4C"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不是物产，是交付物，这个是核心。题目是不是再改改：</w:t>
      </w:r>
    </w:p>
    <w:p w14:paraId="0DFE19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面向超级个体的协作开发工作流平台设计与开源集成</w:t>
      </w:r>
    </w:p>
  </w:comment>
  <w:comment w:id="3" w:author="作者" w:date="2026-07-22T09:26:00Z" w:initials="A">
    <w:p w14:paraId="47FE9FB8">
      <w:pPr>
        <w:pStyle w:val="3"/>
      </w:pPr>
      <w:r>
        <w:rPr>
          <w:rFonts w:hint="eastAsia"/>
        </w:rPr>
        <w:t>我觉得你主要是一个原型，这部分是不是应该是项目交付的主要内容。一般在这里，不需要写的分类那么细，把几个主要的模块写出来即可。我看有的是过程性的，有的是需求，这些分开。开发过程和需求标题下可以有小标题。不要这样囫囵吞枣写这么多条</w:t>
      </w:r>
    </w:p>
  </w:comment>
  <w:comment w:id="4" w:author="作者" w:date="2026-07-23T08:33:00Z" w:initials="A">
    <w:p w14:paraId="77562C25">
      <w:pPr>
        <w:pStyle w:val="3"/>
      </w:pPr>
      <w:r>
        <w:rPr>
          <w:rFonts w:hint="eastAsia"/>
        </w:rPr>
        <w:t>已重新整理为四个主要交付模块</w:t>
      </w:r>
    </w:p>
  </w:comment>
  <w:comment w:id="5" w:author="作者" w:date="2026-07-22T09:24:00Z" w:initials="A">
    <w:p w14:paraId="36C49D51">
      <w:pPr>
        <w:pStyle w:val="3"/>
      </w:pPr>
      <w:r>
        <w:rPr>
          <w:rFonts w:hint="eastAsia"/>
        </w:rPr>
        <w:t>这个写法是有问题的，不能把前期做的东西作为毕业设计，语言上需要处理一下。核心是要写清楚当未来的目标。前期工作作为可行性分析。任务书中不需要写那么多，开题报告中为主展开</w:t>
      </w:r>
    </w:p>
  </w:comment>
  <w:comment w:id="6" w:author="作者" w:date="2026-07-23T08:33:00Z" w:initials="A">
    <w:p w14:paraId="2C318DB0">
      <w:pPr>
        <w:pStyle w:val="3"/>
      </w:pPr>
      <w:r>
        <w:rPr>
          <w:rFonts w:hint="eastAsia"/>
        </w:rPr>
        <w:t>已调整表述，不再过多赘述原型</w:t>
      </w:r>
    </w:p>
  </w:comment>
  <w:comment w:id="7" w:author="作者" w:date="2026-07-22T09:31:00Z" w:initials="A">
    <w:p w14:paraId="2E26FFFA">
      <w:pPr>
        <w:pStyle w:val="3"/>
      </w:pPr>
      <w:r>
        <w:rPr>
          <w:rFonts w:hint="eastAsia"/>
        </w:rPr>
        <w:t>一般是写你的项目对应的技术路线，座椅查论文这些不是技术路线。只是工作的必要组成部分。</w:t>
      </w:r>
    </w:p>
    <w:p w14:paraId="3A907EB1">
      <w:pPr>
        <w:pStyle w:val="3"/>
      </w:pPr>
    </w:p>
    <w:p w14:paraId="2EA967CA">
      <w:pPr>
        <w:pStyle w:val="3"/>
      </w:pPr>
      <w:r>
        <w:rPr>
          <w:rFonts w:hint="eastAsia"/>
        </w:rPr>
        <w:t>我觉得你的技术路线应该是有AIGC驱动的工作流吧，这个看起来是传统的工作流，不尽合理吧。</w:t>
      </w:r>
    </w:p>
  </w:comment>
  <w:comment w:id="8" w:author="作者" w:date="2026-07-23T08:33:00Z" w:initials="A">
    <w:p w14:paraId="191BA018">
      <w:pPr>
        <w:pStyle w:val="3"/>
      </w:pPr>
      <w:r>
        <w:rPr>
          <w:rFonts w:hint="eastAsia"/>
        </w:rPr>
        <w:t>已修正视角，以AI为中心叙述工作流</w:t>
      </w:r>
    </w:p>
  </w:comment>
  <w:comment w:id="9" w:author="作者" w:date="2026-07-22T09:28:00Z" w:initials="A">
    <w:p w14:paraId="21A8E41F">
      <w:pPr>
        <w:pStyle w:val="3"/>
      </w:pPr>
      <w:r>
        <w:rPr>
          <w:rFonts w:hint="eastAsia"/>
        </w:rPr>
        <w:t>这里我看已经是基于原有的框架设计下的很具体的工作了。从毕业设计的角度，你要从开发过程的核心要素来展开。比如需求与UE核心原型，架构设计，实现与测试中的问题。把下面的技术路线中的每个环节的核心问题列出来即可</w:t>
      </w:r>
    </w:p>
  </w:comment>
  <w:comment w:id="10" w:author="作者" w:date="2026-07-23T08:33:00Z" w:initials="A">
    <w:p w14:paraId="768B5AAD">
      <w:pPr>
        <w:pStyle w:val="3"/>
      </w:pPr>
      <w:r>
        <w:rPr>
          <w:rFonts w:hint="eastAsia"/>
        </w:rPr>
        <w:t>已按需求与UE、架构与安全边界、实现集成、测试评价等开发环节重新组织。</w:t>
      </w:r>
    </w:p>
  </w:comment>
  <w:comment w:id="11" w:author="作者" w:date="2026-07-23T09:13:38Z" w:initials="A">
    <w:p w14:paraId="33881797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你需要一个一个对一下原文，前三个要三年内的，并且相关性极强，还需要翻译作为开题报告的部分。格式也需要一个一个按照我给的标准校验。原文去学校电子资源可以找到，或者公开互联网长期有效联系</w:t>
      </w:r>
    </w:p>
  </w:comment>
  <w:comment w:id="12" w:author="作者" w:date="2026-07-23T09:15:29Z" w:initials="A">
    <w:p w14:paraId="35CBD9B1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参考文献没有必要的可以不写上去，除非你真的有这么多。到时候查起来，容易给自己带来麻烦。不要少于12篇即可，中文不要多余3篇</w:t>
      </w:r>
      <w:bookmarkStart w:id="2" w:name="_GoBack"/>
      <w:bookmarkEnd w:id="2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9564E9A" w15:done="0"/>
  <w15:commentEx w15:paraId="17258D24" w15:done="0" w15:paraIdParent="59564E9A"/>
  <w15:commentEx w15:paraId="0DFE199A" w15:done="0"/>
  <w15:commentEx w15:paraId="47FE9FB8" w15:done="0"/>
  <w15:commentEx w15:paraId="77562C25" w15:done="0" w15:paraIdParent="47FE9FB8"/>
  <w15:commentEx w15:paraId="36C49D51" w15:done="0"/>
  <w15:commentEx w15:paraId="2C318DB0" w15:done="0" w15:paraIdParent="36C49D51"/>
  <w15:commentEx w15:paraId="2EA967CA" w15:done="0"/>
  <w15:commentEx w15:paraId="191BA018" w15:done="0" w15:paraIdParent="2EA967CA"/>
  <w15:commentEx w15:paraId="21A8E41F" w15:done="0"/>
  <w15:commentEx w15:paraId="768B5AAD" w15:done="0" w15:paraIdParent="21A8E41F"/>
  <w15:commentEx w15:paraId="33881797" w15:done="0"/>
  <w15:commentEx w15:paraId="35CBD9B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removePersonalInformation/>
  <w:bordersDoNotSurroundHeader w:val="1"/>
  <w:bordersDoNotSurroundFooter w:val="1"/>
  <w:documentProtection w:enforcement="0"/>
  <w:defaultTabStop w:val="42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65E"/>
    <w:rsid w:val="000770B2"/>
    <w:rsid w:val="000817F3"/>
    <w:rsid w:val="000B7DDC"/>
    <w:rsid w:val="00270A1E"/>
    <w:rsid w:val="002727D9"/>
    <w:rsid w:val="002750D0"/>
    <w:rsid w:val="002B5334"/>
    <w:rsid w:val="002F218E"/>
    <w:rsid w:val="003255BF"/>
    <w:rsid w:val="0034204C"/>
    <w:rsid w:val="0036220C"/>
    <w:rsid w:val="003A0347"/>
    <w:rsid w:val="0040411B"/>
    <w:rsid w:val="00424B1F"/>
    <w:rsid w:val="00434C48"/>
    <w:rsid w:val="0047401A"/>
    <w:rsid w:val="004B7B92"/>
    <w:rsid w:val="004E4F6B"/>
    <w:rsid w:val="004F47CF"/>
    <w:rsid w:val="00586783"/>
    <w:rsid w:val="00590B4F"/>
    <w:rsid w:val="00593FE7"/>
    <w:rsid w:val="005A45A0"/>
    <w:rsid w:val="00670EAD"/>
    <w:rsid w:val="0069141A"/>
    <w:rsid w:val="006A53BA"/>
    <w:rsid w:val="006B516A"/>
    <w:rsid w:val="006D45A5"/>
    <w:rsid w:val="0071174E"/>
    <w:rsid w:val="0073284D"/>
    <w:rsid w:val="00751AD1"/>
    <w:rsid w:val="0082366F"/>
    <w:rsid w:val="008414FC"/>
    <w:rsid w:val="0086686F"/>
    <w:rsid w:val="00894091"/>
    <w:rsid w:val="008A588B"/>
    <w:rsid w:val="008A79A1"/>
    <w:rsid w:val="008E69D6"/>
    <w:rsid w:val="0090353D"/>
    <w:rsid w:val="0091595A"/>
    <w:rsid w:val="0092543E"/>
    <w:rsid w:val="0093725D"/>
    <w:rsid w:val="00962A68"/>
    <w:rsid w:val="009776AA"/>
    <w:rsid w:val="00982328"/>
    <w:rsid w:val="009F62CA"/>
    <w:rsid w:val="00A40740"/>
    <w:rsid w:val="00A55111"/>
    <w:rsid w:val="00A6414E"/>
    <w:rsid w:val="00B37F18"/>
    <w:rsid w:val="00BD3118"/>
    <w:rsid w:val="00BD5CB9"/>
    <w:rsid w:val="00C3287F"/>
    <w:rsid w:val="00C41EEE"/>
    <w:rsid w:val="00CB7754"/>
    <w:rsid w:val="00CE366F"/>
    <w:rsid w:val="00D649B4"/>
    <w:rsid w:val="00DC665E"/>
    <w:rsid w:val="00DE495E"/>
    <w:rsid w:val="00E34801"/>
    <w:rsid w:val="00EE09EF"/>
    <w:rsid w:val="00F22511"/>
    <w:rsid w:val="00F25DFF"/>
    <w:rsid w:val="00FB56EF"/>
    <w:rsid w:val="00FE5B61"/>
    <w:rsid w:val="F7FFBF4A"/>
    <w:rsid w:val="FFF7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20"/>
    <w:unhideWhenUsed/>
    <w:uiPriority w:val="99"/>
  </w:style>
  <w:style w:type="paragraph" w:styleId="4">
    <w:name w:val="footer"/>
    <w:basedOn w:val="1"/>
    <w:link w:val="13"/>
    <w:unhideWhenUsed/>
    <w:uiPriority w:val="99"/>
    <w:pPr>
      <w:snapToGrid w:val="0"/>
    </w:pPr>
    <w:rPr>
      <w:sz w:val="18"/>
      <w:szCs w:val="18"/>
    </w:rPr>
  </w:style>
  <w:style w:type="paragraph" w:styleId="5">
    <w:name w:val="header"/>
    <w:basedOn w:val="1"/>
    <w:link w:val="1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7">
    <w:name w:val="annotation subject"/>
    <w:basedOn w:val="3"/>
    <w:next w:val="3"/>
    <w:link w:val="21"/>
    <w:semiHidden/>
    <w:unhideWhenUsed/>
    <w:uiPriority w:val="99"/>
    <w:rPr>
      <w:b/>
      <w:bCs/>
    </w:rPr>
  </w:style>
  <w:style w:type="character" w:styleId="10">
    <w:name w:val="annotation reference"/>
    <w:basedOn w:val="9"/>
    <w:semiHidden/>
    <w:unhideWhenUsed/>
    <w:uiPriority w:val="99"/>
    <w:rPr>
      <w:sz w:val="21"/>
      <w:szCs w:val="21"/>
    </w:rPr>
  </w:style>
  <w:style w:type="character" w:customStyle="1" w:styleId="11">
    <w:name w:val="标题 1 字符"/>
    <w:basedOn w:val="9"/>
    <w:link w:val="2"/>
    <w:uiPriority w:val="9"/>
    <w:rPr>
      <w:rFonts w:hint="eastAsia" w:ascii="宋体" w:hAnsi="宋体" w:eastAsia="宋体"/>
      <w:b/>
      <w:bCs/>
    </w:rPr>
  </w:style>
  <w:style w:type="paragraph" w:customStyle="1" w:styleId="12">
    <w:name w:val="msonormal"/>
    <w:basedOn w:val="1"/>
    <w:uiPriority w:val="0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3">
    <w:name w:val="页脚 字符"/>
    <w:basedOn w:val="9"/>
    <w:link w:val="4"/>
    <w:uiPriority w:val="99"/>
    <w:rPr>
      <w:rFonts w:eastAsia="宋体"/>
      <w:sz w:val="18"/>
      <w:szCs w:val="18"/>
    </w:rPr>
  </w:style>
  <w:style w:type="paragraph" w:customStyle="1" w:styleId="14">
    <w:name w:val="z-窗体顶端1"/>
    <w:basedOn w:val="1"/>
    <w:next w:val="1"/>
    <w:link w:val="15"/>
    <w:semiHidden/>
    <w:unhideWhenUsed/>
    <w:uiPriority w:val="99"/>
    <w:pPr>
      <w:pBdr>
        <w:bottom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15">
    <w:name w:val="z-窗体顶端 字符"/>
    <w:basedOn w:val="9"/>
    <w:link w:val="14"/>
    <w:semiHidden/>
    <w:uiPriority w:val="99"/>
    <w:rPr>
      <w:rFonts w:hint="default" w:ascii="Arial" w:hAnsi="Arial" w:cs="Arial"/>
      <w:vanish/>
    </w:rPr>
  </w:style>
  <w:style w:type="paragraph" w:customStyle="1" w:styleId="16">
    <w:name w:val="z-窗体底端1"/>
    <w:basedOn w:val="1"/>
    <w:next w:val="1"/>
    <w:link w:val="17"/>
    <w:semiHidden/>
    <w:unhideWhenUsed/>
    <w:uiPriority w:val="99"/>
    <w:pPr>
      <w:pBdr>
        <w:top w:val="single" w:color="auto" w:sz="6" w:space="1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17">
    <w:name w:val="z-窗体底端 字符"/>
    <w:basedOn w:val="9"/>
    <w:link w:val="16"/>
    <w:semiHidden/>
    <w:uiPriority w:val="99"/>
    <w:rPr>
      <w:rFonts w:hint="default" w:ascii="Arial" w:hAnsi="Arial" w:cs="Arial"/>
      <w:vanish/>
    </w:rPr>
  </w:style>
  <w:style w:type="character" w:customStyle="1" w:styleId="18">
    <w:name w:val="页眉 字符"/>
    <w:basedOn w:val="9"/>
    <w:link w:val="5"/>
    <w:uiPriority w:val="99"/>
    <w:rPr>
      <w:rFonts w:eastAsia="宋体"/>
      <w:sz w:val="18"/>
      <w:szCs w:val="18"/>
    </w:rPr>
  </w:style>
  <w:style w:type="paragraph" w:customStyle="1" w:styleId="19">
    <w:name w:val="Revision"/>
    <w:hidden/>
    <w:unhideWhenUsed/>
    <w:uiPriority w:val="99"/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character" w:customStyle="1" w:styleId="20">
    <w:name w:val="批注文字 字符"/>
    <w:basedOn w:val="9"/>
    <w:link w:val="3"/>
    <w:uiPriority w:val="99"/>
    <w:rPr>
      <w:rFonts w:eastAsia="宋体"/>
      <w:sz w:val="21"/>
      <w:szCs w:val="21"/>
    </w:rPr>
  </w:style>
  <w:style w:type="character" w:customStyle="1" w:styleId="21">
    <w:name w:val="批注主题 字符"/>
    <w:basedOn w:val="20"/>
    <w:link w:val="7"/>
    <w:semiHidden/>
    <w:uiPriority w:val="99"/>
    <w:rPr>
      <w:rFonts w:eastAsia="宋体"/>
      <w:b/>
      <w:bCs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3778</Words>
  <Characters>7180</Characters>
  <Lines>179</Lines>
  <Paragraphs>138</Paragraphs>
  <TotalTime>7</TotalTime>
  <ScaleCrop>false</ScaleCrop>
  <LinksUpToDate>false</LinksUpToDate>
  <CharactersWithSpaces>10820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2026-07-23T04:56:00Z</dcterms:created>
  <dcterms:modified xsi:type="dcterms:W3CDTF">2026-07-23T09:16:47Z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96DCAA9AD161111A7F6B616AC181D023_43</vt:lpwstr>
  </property>
</Properties>
</file>