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0E86E">
      <w:pPr>
        <w:spacing w:before="480" w:after="480" w:line="288" w:lineRule="auto"/>
        <w:ind w:left="0"/>
        <w:rPr>
          <w:sz w:val="24"/>
        </w:rPr>
      </w:pPr>
      <w:r>
        <w:rPr>
          <w:rFonts w:ascii="Arial" w:hAnsi="Arial" w:eastAsia="等线" w:cs="Arial"/>
          <w:b/>
          <w:sz w:val="52"/>
        </w:rPr>
        <w:t>一站式AI开发平台 项目愿景与范围</w:t>
      </w:r>
    </w:p>
    <w:p w14:paraId="0221896C">
      <w:pPr>
        <w:jc w:val="center"/>
        <w:rPr>
          <w:b/>
          <w:sz w:val="18"/>
          <w:szCs w:val="20"/>
        </w:rPr>
      </w:pPr>
    </w:p>
    <w:p w14:paraId="5BA1B652">
      <w:pPr>
        <w:ind w:firstLine="420" w:firstLineChars="200"/>
        <w:rPr>
          <w:rFonts w:eastAsia="黑体"/>
          <w:b/>
          <w:sz w:val="28"/>
        </w:rPr>
      </w:pPr>
      <w:r>
        <w:drawing>
          <wp:inline distT="0" distB="0" distL="114300" distR="114300">
            <wp:extent cx="5268595" cy="404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4992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EFF587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34F141FE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bCs/>
          <w:sz w:val="24"/>
        </w:rPr>
      </w:pPr>
      <w:r>
        <w:rPr>
          <w:rFonts w:hint="eastAsia"/>
          <w:bCs/>
          <w:sz w:val="24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一站式ai平台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267D7DA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</w:rPr>
        <w:t xml:space="preserve">小 组 成 员 </w:t>
      </w:r>
      <w:r>
        <w:rPr>
          <w:rFonts w:hint="eastAsia" w:ascii="宋体" w:hAnsi="宋体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74B0581">
      <w:pPr>
        <w:jc w:val="left"/>
        <w:rPr>
          <w:rStyle w:val="7"/>
          <w:rFonts w:hint="eastAsia" w:asciiTheme="minorEastAsia" w:hAnsiTheme="minorEastAsia"/>
          <w:sz w:val="24"/>
        </w:rPr>
      </w:pPr>
    </w:p>
    <w:p w14:paraId="541EED6B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7"/>
          <w:rFonts w:hint="eastAsia" w:asciiTheme="minorEastAsia" w:hAnsiTheme="minorEastAsia"/>
          <w:sz w:val="24"/>
        </w:rPr>
        <w:t xml:space="preserve">               项目计划日期：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2026 </w:t>
      </w:r>
      <w:r>
        <w:rPr>
          <w:rStyle w:val="7"/>
          <w:rFonts w:hint="eastAsia" w:asciiTheme="minorEastAsia" w:hAnsiTheme="minorEastAsia"/>
          <w:sz w:val="24"/>
        </w:rPr>
        <w:t>年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4</w:t>
      </w:r>
      <w:r>
        <w:rPr>
          <w:rStyle w:val="7"/>
          <w:rFonts w:hint="eastAsia" w:asciiTheme="minorEastAsia" w:hAnsiTheme="minorEastAsia"/>
          <w:sz w:val="24"/>
        </w:rPr>
        <w:t>月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17</w:t>
      </w:r>
      <w:r>
        <w:rPr>
          <w:rStyle w:val="7"/>
          <w:rFonts w:hint="eastAsia" w:asciiTheme="minorEastAsia" w:hAnsiTheme="minorEastAsia"/>
          <w:sz w:val="24"/>
        </w:rPr>
        <w:t>日</w:t>
      </w:r>
    </w:p>
    <w:p w14:paraId="41870D9E">
      <w:pPr>
        <w:spacing w:before="480" w:after="480" w:line="288" w:lineRule="auto"/>
        <w:rPr>
          <w:rFonts w:ascii="Arial" w:hAnsi="Arial" w:eastAsia="等线" w:cs="Arial"/>
          <w:b/>
          <w:sz w:val="52"/>
        </w:rPr>
      </w:pPr>
    </w:p>
    <w:p w14:paraId="752247E1">
      <w:pPr>
        <w:jc w:val="center"/>
        <w:rPr>
          <w:rFonts w:hint="eastAsia" w:ascii="宋体" w:hAnsi="宋体" w:eastAsia="宋体"/>
        </w:rPr>
      </w:pPr>
    </w:p>
    <w:p w14:paraId="3F2C68A4">
      <w:pPr>
        <w:jc w:val="center"/>
        <w:rPr>
          <w:rFonts w:hint="eastAsia" w:ascii="宋体" w:hAnsi="宋体" w:eastAsia="宋体"/>
        </w:rPr>
      </w:pPr>
    </w:p>
    <w:p w14:paraId="25B7369E">
      <w:pPr>
        <w:jc w:val="center"/>
        <w:rPr>
          <w:rFonts w:hint="eastAsia" w:ascii="宋体" w:hAnsi="宋体" w:eastAsia="宋体"/>
        </w:rPr>
      </w:pPr>
    </w:p>
    <w:p w14:paraId="00B7197A">
      <w:pPr>
        <w:jc w:val="center"/>
        <w:rPr>
          <w:rFonts w:hint="eastAsia" w:ascii="宋体" w:hAnsi="宋体" w:eastAsia="宋体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7652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1B24">
            <w:pPr>
              <w:pStyle w:val="8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E1EF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项目愿景与范围</w:t>
            </w:r>
          </w:p>
        </w:tc>
      </w:tr>
      <w:tr w14:paraId="649C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A67D4">
            <w:pPr>
              <w:pStyle w:val="8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0044">
            <w:pPr>
              <w:pStyle w:val="8"/>
            </w:pPr>
            <w:r>
              <w:t>陈鹏宇</w:t>
            </w:r>
          </w:p>
        </w:tc>
      </w:tr>
      <w:tr w14:paraId="2465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06D1">
            <w:pPr>
              <w:pStyle w:val="8"/>
            </w:pPr>
            <w:r>
              <w:t>项目阶段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F6AEC">
            <w:pPr>
              <w:pStyle w:val="8"/>
            </w:pPr>
            <w:r>
              <w:rPr>
                <w:rFonts w:hint="eastAsia"/>
              </w:rPr>
              <w:t>需求分析阶段</w:t>
            </w:r>
          </w:p>
        </w:tc>
      </w:tr>
      <w:tr w14:paraId="63BB1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074B9">
            <w:pPr>
              <w:pStyle w:val="8"/>
            </w:pPr>
            <w:r>
              <w:t>起草人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ADADD">
            <w:pPr>
              <w:pStyle w:val="8"/>
            </w:pPr>
            <w:r>
              <w:t>陈鹏宇</w:t>
            </w:r>
          </w:p>
        </w:tc>
      </w:tr>
    </w:tbl>
    <w:p w14:paraId="1C12B8E8">
      <w:pPr>
        <w:pStyle w:val="8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2113"/>
        <w:gridCol w:w="2097"/>
        <w:gridCol w:w="2027"/>
      </w:tblGrid>
      <w:tr w14:paraId="2BE7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C59A7">
            <w:pPr>
              <w:pStyle w:val="8"/>
            </w:pPr>
            <w:r>
              <w:t>日期</w:t>
            </w:r>
          </w:p>
        </w:tc>
        <w:tc>
          <w:tcPr>
            <w:tcW w:w="21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0614">
            <w:pPr>
              <w:pStyle w:val="8"/>
            </w:pPr>
            <w:r>
              <w:t>版本</w:t>
            </w:r>
          </w:p>
        </w:tc>
        <w:tc>
          <w:tcPr>
            <w:tcW w:w="20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DFFC4">
            <w:pPr>
              <w:pStyle w:val="8"/>
            </w:pPr>
            <w:r>
              <w:t>变更说明</w:t>
            </w:r>
          </w:p>
        </w:tc>
        <w:tc>
          <w:tcPr>
            <w:tcW w:w="20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B527">
            <w:pPr>
              <w:pStyle w:val="8"/>
            </w:pPr>
            <w:r>
              <w:t>作者</w:t>
            </w:r>
          </w:p>
        </w:tc>
      </w:tr>
      <w:tr w14:paraId="402E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AC341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t>202</w:t>
            </w:r>
            <w:r>
              <w:rPr>
                <w:rFonts w:hint="eastAsia"/>
              </w:rPr>
              <w:t>6.</w:t>
            </w:r>
            <w:r>
              <w:rPr>
                <w:rFonts w:hint="eastAsia"/>
                <w:lang w:val="en-US" w:eastAsia="zh-CN"/>
              </w:rPr>
              <w:t>4.17</w:t>
            </w:r>
            <w:bookmarkStart w:id="36" w:name="_GoBack"/>
            <w:bookmarkEnd w:id="36"/>
          </w:p>
        </w:tc>
        <w:tc>
          <w:tcPr>
            <w:tcW w:w="21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18694">
            <w:pPr>
              <w:pStyle w:val="8"/>
            </w:pPr>
            <w:r>
              <w:t>1.0.0</w:t>
            </w:r>
          </w:p>
        </w:tc>
        <w:tc>
          <w:tcPr>
            <w:tcW w:w="20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C03E">
            <w:pPr>
              <w:pStyle w:val="8"/>
            </w:pPr>
            <w:r>
              <w:t>初稿</w:t>
            </w:r>
          </w:p>
        </w:tc>
        <w:tc>
          <w:tcPr>
            <w:tcW w:w="20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FFA9D">
            <w:pPr>
              <w:pStyle w:val="8"/>
            </w:pPr>
            <w:r>
              <w:t>陈鹏宇</w:t>
            </w:r>
          </w:p>
        </w:tc>
      </w:tr>
      <w:tr w14:paraId="0690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5C7F">
            <w:pPr>
              <w:pStyle w:val="8"/>
            </w:pPr>
          </w:p>
        </w:tc>
        <w:tc>
          <w:tcPr>
            <w:tcW w:w="21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84583">
            <w:pPr>
              <w:pStyle w:val="8"/>
            </w:pPr>
          </w:p>
        </w:tc>
        <w:tc>
          <w:tcPr>
            <w:tcW w:w="20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F701B">
            <w:pPr>
              <w:pStyle w:val="8"/>
            </w:pPr>
          </w:p>
        </w:tc>
        <w:tc>
          <w:tcPr>
            <w:tcW w:w="20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9A85">
            <w:pPr>
              <w:pStyle w:val="8"/>
            </w:pPr>
          </w:p>
        </w:tc>
      </w:tr>
    </w:tbl>
    <w:p w14:paraId="76EC7D1A">
      <w:pPr>
        <w:jc w:val="center"/>
        <w:rPr>
          <w:rFonts w:hint="eastAsia" w:ascii="宋体" w:hAnsi="宋体" w:eastAsia="宋体"/>
        </w:rPr>
      </w:pPr>
    </w:p>
    <w:p w14:paraId="69883505">
      <w:pPr>
        <w:jc w:val="center"/>
        <w:rPr>
          <w:rFonts w:hint="eastAsia" w:ascii="宋体" w:hAnsi="宋体" w:eastAsia="宋体"/>
        </w:rPr>
      </w:pPr>
    </w:p>
    <w:p w14:paraId="2966F448">
      <w:pPr>
        <w:jc w:val="center"/>
        <w:rPr>
          <w:rFonts w:hint="eastAsia" w:ascii="宋体" w:hAnsi="宋体" w:eastAsia="宋体"/>
        </w:rPr>
      </w:pPr>
    </w:p>
    <w:p w14:paraId="6DB64479">
      <w:pPr>
        <w:jc w:val="center"/>
        <w:rPr>
          <w:rFonts w:hint="eastAsia" w:ascii="宋体" w:hAnsi="宋体" w:eastAsia="宋体"/>
        </w:rPr>
      </w:pPr>
    </w:p>
    <w:p w14:paraId="046DB964">
      <w:pPr>
        <w:jc w:val="center"/>
        <w:rPr>
          <w:rFonts w:hint="eastAsia" w:ascii="宋体" w:hAnsi="宋体" w:eastAsia="宋体"/>
        </w:rPr>
      </w:pPr>
    </w:p>
    <w:p w14:paraId="006DE64E">
      <w:pPr>
        <w:jc w:val="center"/>
        <w:rPr>
          <w:rFonts w:hint="eastAsia" w:ascii="宋体" w:hAnsi="宋体" w:eastAsia="宋体"/>
        </w:rPr>
      </w:pPr>
    </w:p>
    <w:p w14:paraId="132901ED">
      <w:pPr>
        <w:jc w:val="center"/>
        <w:rPr>
          <w:rFonts w:hint="eastAsia" w:ascii="宋体" w:hAnsi="宋体" w:eastAsia="宋体"/>
        </w:rPr>
      </w:pPr>
    </w:p>
    <w:p w14:paraId="273B8E6F">
      <w:pPr>
        <w:jc w:val="center"/>
        <w:rPr>
          <w:rFonts w:hint="eastAsia" w:ascii="宋体" w:hAnsi="宋体" w:eastAsia="宋体"/>
        </w:rPr>
      </w:pPr>
    </w:p>
    <w:p w14:paraId="32D3F32E">
      <w:pPr>
        <w:jc w:val="center"/>
        <w:rPr>
          <w:rFonts w:hint="eastAsia" w:ascii="宋体" w:hAnsi="宋体" w:eastAsia="宋体"/>
        </w:rPr>
      </w:pPr>
    </w:p>
    <w:p w14:paraId="08250C69">
      <w:pPr>
        <w:jc w:val="center"/>
        <w:rPr>
          <w:rFonts w:hint="eastAsia" w:ascii="宋体" w:hAnsi="宋体" w:eastAsia="宋体"/>
        </w:rPr>
      </w:pPr>
    </w:p>
    <w:p w14:paraId="3CFA0DB3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773044B5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5243C6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E691CE9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4CEBC6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5695A8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642EC9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D0BC2C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02C3217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sdt>
      <w:sdtPr>
        <w:rPr>
          <w:rFonts w:ascii="宋体" w:hAnsi="宋体" w:eastAsia="宋体"/>
          <w:sz w:val="21"/>
          <w:szCs w:val="22"/>
        </w:rPr>
        <w:id w:val="147476838"/>
        <w15:color w:val="DBDBDB"/>
        <w:docPartObj>
          <w:docPartGallery w:val="Table of Contents"/>
          <w:docPartUnique/>
        </w:docPartObj>
      </w:sdtPr>
      <w:sdtContent>
        <w:p w14:paraId="34528AF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3392926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_Toc32710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业务需求</w:t>
          </w:r>
          <w:r>
            <w:tab/>
          </w:r>
          <w:r>
            <w:fldChar w:fldCharType="begin"/>
          </w:r>
          <w:r>
            <w:instrText xml:space="preserve"> PAGEREF _Toc32710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37F002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_Toc17489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背景</w:t>
          </w:r>
          <w:r>
            <w:tab/>
          </w:r>
          <w:r>
            <w:fldChar w:fldCharType="begin"/>
          </w:r>
          <w:r>
            <w:instrText xml:space="preserve"> PAGEREF _Toc17489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338D6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_Toc15864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业务机遇</w:t>
          </w:r>
          <w:r>
            <w:tab/>
          </w:r>
          <w:r>
            <w:fldChar w:fldCharType="begin"/>
          </w:r>
          <w:r>
            <w:instrText xml:space="preserve"> PAGEREF _Toc15864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12776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_Toc18975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业务目标（BO-x）</w:t>
          </w:r>
          <w:r>
            <w:tab/>
          </w:r>
          <w:r>
            <w:fldChar w:fldCharType="begin"/>
          </w:r>
          <w:r>
            <w:instrText xml:space="preserve"> PAGEREF _Toc18975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3C2A0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_Toc3464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1.4 成功指标（SM-x）</w:t>
          </w:r>
          <w:r>
            <w:tab/>
          </w:r>
          <w:r>
            <w:fldChar w:fldCharType="begin"/>
          </w:r>
          <w:r>
            <w:instrText xml:space="preserve"> PAGEREF _Toc3464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45C883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_Toc21025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1.5 愿景陈述</w:t>
          </w:r>
          <w:r>
            <w:tab/>
          </w:r>
          <w:r>
            <w:fldChar w:fldCharType="begin"/>
          </w:r>
          <w:r>
            <w:instrText xml:space="preserve"> PAGEREF _Toc21025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C0918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_Toc17548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1.6 业务风险（RI-x）</w:t>
          </w:r>
          <w:r>
            <w:tab/>
          </w:r>
          <w:r>
            <w:fldChar w:fldCharType="begin"/>
          </w:r>
          <w:r>
            <w:instrText xml:space="preserve"> PAGEREF _Toc17548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18854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_Toc9880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1.7 业务假设与依赖</w:t>
          </w:r>
          <w:r>
            <w:tab/>
          </w:r>
          <w:r>
            <w:fldChar w:fldCharType="begin"/>
          </w:r>
          <w:r>
            <w:instrText xml:space="preserve"> PAGEREF _Toc9880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F96AB4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_Toc9912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范围与限制</w:t>
          </w:r>
          <w:r>
            <w:tab/>
          </w:r>
          <w:r>
            <w:fldChar w:fldCharType="begin"/>
          </w:r>
          <w:r>
            <w:instrText xml:space="preserve"> PAGEREF _Toc9912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D74FC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_Toc31999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主要特性（FE-x）</w:t>
          </w:r>
          <w:r>
            <w:tab/>
          </w:r>
          <w:r>
            <w:fldChar w:fldCharType="begin"/>
          </w:r>
          <w:r>
            <w:instrText xml:space="preserve"> PAGEREF _Toc31999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94895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_Toc23017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初始与后续发布的范围</w:t>
          </w:r>
          <w:r>
            <w:tab/>
          </w:r>
          <w:r>
            <w:fldChar w:fldCharType="begin"/>
          </w:r>
          <w:r>
            <w:instrText xml:space="preserve"> PAGEREF _Toc23017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1356BF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_Toc14554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 限制与排除项（LI-x）</w:t>
          </w:r>
          <w:r>
            <w:tab/>
          </w:r>
          <w:r>
            <w:fldChar w:fldCharType="begin"/>
          </w:r>
          <w:r>
            <w:instrText xml:space="preserve"> PAGEREF _Toc14554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2D229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_Toc15402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业务上下文</w:t>
          </w:r>
          <w:r>
            <w:tab/>
          </w:r>
          <w:r>
            <w:fldChar w:fldCharType="begin"/>
          </w:r>
          <w:r>
            <w:instrText xml:space="preserve"> PAGEREF _Toc15402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2B69E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_Toc3646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干系人资料</w:t>
          </w:r>
          <w:r>
            <w:tab/>
          </w:r>
          <w:r>
            <w:fldChar w:fldCharType="begin"/>
          </w:r>
          <w:r>
            <w:instrText xml:space="preserve"> PAGEREF _Toc3646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E2EAD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_Toc3752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项目优先级（约束 / 驱动 / 自由度矩阵）</w:t>
          </w:r>
          <w:r>
            <w:tab/>
          </w:r>
          <w:r>
            <w:fldChar w:fldCharType="begin"/>
          </w:r>
          <w:r>
            <w:instrText xml:space="preserve"> PAGEREF _Toc3752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368D82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_Toc18790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3.3 部署考虑</w:t>
          </w:r>
          <w:r>
            <w:tab/>
          </w:r>
          <w:r>
            <w:fldChar w:fldCharType="begin"/>
          </w:r>
          <w:r>
            <w:instrText xml:space="preserve"> PAGEREF _Toc18790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A1C1B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_Toc17772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附录：核心用例清单（愿景阶段梳理）</w:t>
          </w:r>
          <w:r>
            <w:tab/>
          </w:r>
          <w:r>
            <w:fldChar w:fldCharType="begin"/>
          </w:r>
          <w:r>
            <w:instrText xml:space="preserve"> PAGEREF _Toc17772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37322A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_Toc27656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核心用例详细介绍</w:t>
          </w:r>
          <w:r>
            <w:tab/>
          </w:r>
          <w:r>
            <w:fldChar w:fldCharType="begin"/>
          </w:r>
          <w:r>
            <w:instrText xml:space="preserve"> PAGEREF _Toc27656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CFEEBB">
          <w:r>
            <w:fldChar w:fldCharType="end"/>
          </w:r>
        </w:p>
      </w:sdtContent>
    </w:sdt>
    <w:p w14:paraId="0C2DAFCB"/>
    <w:p w14:paraId="0F05A229">
      <w:pPr>
        <w:spacing w:before="320" w:after="120" w:line="288" w:lineRule="auto"/>
        <w:ind w:left="0"/>
        <w:jc w:val="left"/>
        <w:outlineLvl w:val="1"/>
      </w:pPr>
      <w:bookmarkStart w:id="1" w:name="_Toc32710"/>
      <w:r>
        <w:rPr>
          <w:rFonts w:ascii="Arial" w:hAnsi="Arial" w:eastAsia="等线" w:cs="Arial"/>
          <w:b/>
          <w:sz w:val="32"/>
        </w:rPr>
        <w:t>1. 业务需求</w:t>
      </w:r>
      <w:bookmarkEnd w:id="0"/>
      <w:bookmarkEnd w:id="1"/>
    </w:p>
    <w:p w14:paraId="613E8ECD">
      <w:pPr>
        <w:spacing w:before="300" w:after="120" w:line="288" w:lineRule="auto"/>
        <w:ind w:left="0"/>
        <w:jc w:val="left"/>
        <w:outlineLvl w:val="2"/>
      </w:pPr>
      <w:bookmarkStart w:id="2" w:name="heading_1"/>
      <w:bookmarkStart w:id="3" w:name="_Toc17489"/>
      <w:r>
        <w:rPr>
          <w:rFonts w:ascii="Arial" w:hAnsi="Arial" w:eastAsia="等线" w:cs="Arial"/>
          <w:b/>
          <w:sz w:val="30"/>
        </w:rPr>
        <w:t>1.1 背景</w:t>
      </w:r>
      <w:bookmarkEnd w:id="2"/>
      <w:bookmarkEnd w:id="3"/>
    </w:p>
    <w:p w14:paraId="5E0CD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 AI 开发流程存在明显痛点：AI 开发者需在多工具、多环境间切换，配置 AI 计算框架、管理容器环境、维护模型 / 数据集的过程繁琐，开发效率低、学习成本高；团队内模型与算法共享困难，缺乏统一管理入口，导致重复造轮子、资源浪费；不同开发阶段（数据准备→模型训练→部署上线）的工具链割裂，流程不连贯，开发者需投入大量时间处理环境搭建、依赖冲突、版本管理等非核心工作，无法专注于算法与模型优化。</w:t>
      </w:r>
    </w:p>
    <w:p w14:paraId="40F94902">
      <w:pPr>
        <w:spacing w:before="300" w:after="120" w:line="288" w:lineRule="auto"/>
        <w:ind w:left="0"/>
        <w:jc w:val="left"/>
        <w:outlineLvl w:val="2"/>
      </w:pPr>
      <w:bookmarkStart w:id="4" w:name="heading_2"/>
      <w:bookmarkStart w:id="5" w:name="_Toc15864"/>
      <w:r>
        <w:rPr>
          <w:rFonts w:ascii="Arial" w:hAnsi="Arial" w:eastAsia="等线" w:cs="Arial"/>
          <w:b/>
          <w:sz w:val="30"/>
        </w:rPr>
        <w:t>1.2 业务机遇</w:t>
      </w:r>
      <w:bookmarkEnd w:id="4"/>
      <w:bookmarkEnd w:id="5"/>
    </w:p>
    <w:p w14:paraId="1FF30D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为解决上述痛点，打造一站式 AI 开发平台，为 AI 开发者提供全流程自动化开发工具链，打通数据管理、模型开发、训练部署、共享协作全流程。平台支持主流 AI 计算框架与容器化开发环境，实现环境一键构建、模型 / 数据集统一管理与共享，大幅降低 AI 开发的入门门槛与流程成本，提升开发者效率；同时为团队提供协作能力，促进模型与算法的复用，减少重复工作，加速 AI 项目从创意到落地的全流程。</w:t>
      </w:r>
    </w:p>
    <w:p w14:paraId="1AB25138">
      <w:pPr>
        <w:spacing w:before="300" w:after="120" w:line="288" w:lineRule="auto"/>
        <w:ind w:left="0"/>
        <w:jc w:val="left"/>
        <w:outlineLvl w:val="2"/>
      </w:pPr>
      <w:bookmarkStart w:id="6" w:name="heading_3"/>
      <w:bookmarkStart w:id="7" w:name="_Toc18975"/>
      <w:r>
        <w:rPr>
          <w:rFonts w:ascii="Arial" w:hAnsi="Arial" w:eastAsia="等线" w:cs="Arial"/>
          <w:b/>
          <w:sz w:val="30"/>
        </w:rPr>
        <w:t>1.3 业务目标（BO-x）</w:t>
      </w:r>
      <w:bookmarkEnd w:id="6"/>
      <w:bookmarkEnd w:id="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75643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8E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E8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A5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7E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</w:tr>
      <w:tr w14:paraId="54D71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A4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BO-1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3C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 AI 开发环境搭建与配置耗时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D4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开发者搭建基础开发环境的平均时间从 4 小时缩短至 30 分钟内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74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初始发布后 3 个月内</w:t>
            </w:r>
          </w:p>
        </w:tc>
      </w:tr>
      <w:tr w14:paraId="4F27E7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B1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BO-2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B6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 AI 开发效率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D3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开发者完成 “数据准备 - 模型训练 - 部署” 完整流程的平均耗时降低 40%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CD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初始发布后 6 个月内</w:t>
            </w:r>
          </w:p>
        </w:tc>
      </w:tr>
      <w:tr w14:paraId="6AFDA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0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BO-3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9B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提升模型与算法的复用率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79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平台内共享模型 / 算法的月调用次数占总开发项目的比例提升至 30%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E3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初始发布后 12 个月内</w:t>
            </w:r>
          </w:p>
        </w:tc>
      </w:tr>
    </w:tbl>
    <w:p w14:paraId="3B54CBEA">
      <w:pPr>
        <w:spacing w:before="300" w:after="120" w:line="288" w:lineRule="auto"/>
        <w:ind w:left="0"/>
        <w:jc w:val="left"/>
        <w:outlineLvl w:val="2"/>
      </w:pPr>
      <w:bookmarkStart w:id="8" w:name="heading_4"/>
      <w:bookmarkStart w:id="9" w:name="_Toc3464"/>
      <w:r>
        <w:rPr>
          <w:rFonts w:ascii="Arial" w:hAnsi="Arial" w:eastAsia="等线" w:cs="Arial"/>
          <w:b/>
          <w:sz w:val="30"/>
        </w:rPr>
        <w:t>1.4 成功指标（SM-x）</w:t>
      </w:r>
      <w:bookmarkEnd w:id="8"/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CD0DE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96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73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12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F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</w:tr>
      <w:tr w14:paraId="5A345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95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SM-1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AB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用户活跃度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1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目标用户群体中，70% 以上的活跃 AI 开发者每周至少使用 1 次平台核心功能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9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初始发布后 3 个月内</w:t>
            </w:r>
          </w:p>
        </w:tc>
      </w:tr>
      <w:tr w14:paraId="14FBCE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C0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SM-2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AD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用户满意度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25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平台核心功能的用户满意度（5 分制）平均评分≥4.2 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5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初始发布后 3 个月内</w:t>
            </w:r>
          </w:p>
        </w:tc>
      </w:tr>
      <w:tr w14:paraId="27E4D0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1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SM-3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E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功能使用率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D1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模型管理、数据集管理、容器环境管理三大核心功能的月使用率≥60%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A5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初始发布后 6 个月内</w:t>
            </w:r>
          </w:p>
        </w:tc>
      </w:tr>
    </w:tbl>
    <w:p w14:paraId="7C7CD4CC">
      <w:pPr>
        <w:spacing w:before="300" w:after="120" w:line="288" w:lineRule="auto"/>
        <w:ind w:left="0"/>
        <w:jc w:val="left"/>
        <w:outlineLvl w:val="2"/>
      </w:pPr>
      <w:bookmarkStart w:id="10" w:name="heading_5"/>
      <w:bookmarkStart w:id="11" w:name="_Toc21025"/>
      <w:r>
        <w:rPr>
          <w:rFonts w:ascii="Arial" w:hAnsi="Arial" w:eastAsia="等线" w:cs="Arial"/>
          <w:b/>
          <w:sz w:val="30"/>
        </w:rPr>
        <w:t>1.5 愿景陈述</w:t>
      </w:r>
      <w:bookmarkEnd w:id="10"/>
      <w:bookmarkEnd w:id="11"/>
    </w:p>
    <w:p w14:paraId="0C1E06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对于需要高效完成 AI 开发的个人开发者与团队而言，一站式 AI 开发平台是一套集成全流程工具链的云端平台，它提供主流 AI 框架支持、容器化环境管理、模型 / 数据集统一管理与共享能力，帮助开发者无需手动配置环境、无需切换多工具，即可完成从数据处理到模型部署的全流程开发；不同于传统分散式开发工具，本平台通过一站式集成与自动化流程，降低开发门槛、减少重复工作，让开发者专注于算法创新与模型优化，加速 AI 项目落地。</w:t>
      </w:r>
    </w:p>
    <w:p w14:paraId="217CF1FC">
      <w:pPr>
        <w:spacing w:before="300" w:after="120" w:line="288" w:lineRule="auto"/>
        <w:ind w:left="0"/>
        <w:jc w:val="left"/>
        <w:outlineLvl w:val="2"/>
      </w:pPr>
      <w:bookmarkStart w:id="12" w:name="heading_6"/>
      <w:bookmarkStart w:id="13" w:name="_Toc17548"/>
      <w:r>
        <w:rPr>
          <w:rFonts w:ascii="Arial" w:hAnsi="Arial" w:eastAsia="等线" w:cs="Arial"/>
          <w:b/>
          <w:sz w:val="30"/>
        </w:rPr>
        <w:t>1.6 业务风险（RI-x）</w:t>
      </w:r>
      <w:bookmarkEnd w:id="12"/>
      <w:bookmarkEnd w:id="1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4AFE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8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64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A0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85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0E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555AD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2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RI-1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3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主流 AI 框架版本更新频繁，平台适配不及时，导致部分开发者无法使用新框架特性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A0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A7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40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建立框架版本适配机制，优先适配稳定版框架，定期迭代适配新版本</w:t>
            </w:r>
          </w:p>
        </w:tc>
      </w:tr>
      <w:tr w14:paraId="7EBE90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65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RI-2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48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容器环境构建与镜像管理功能复杂，初期性能不稳定，影响开发者使用体验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73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E2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05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初期优先支持核心框架的基础容器环境，分阶段迭代优化性能，提供环境模板</w:t>
            </w:r>
          </w:p>
        </w:tc>
      </w:tr>
      <w:tr w14:paraId="360FF6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28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RI-3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1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模型与数据集的共享存在安全风险（如数据泄露、模型滥用），引发合规问题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9B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11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F4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设计权限分级机制，支持私有 / 公开 / 团队内共享模式，增加访问日志与审计功能</w:t>
            </w:r>
          </w:p>
        </w:tc>
      </w:tr>
      <w:tr w14:paraId="34A35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5E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RI-4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3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目标用户群体对平台的接受度不足，仍习惯使用传统开发工具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65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D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A1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提供一键导入现有模型 / 数据集的功能，设计轻量化入门引导，支持本地 - 云端协同开发</w:t>
            </w:r>
          </w:p>
        </w:tc>
      </w:tr>
    </w:tbl>
    <w:p w14:paraId="2351FB11">
      <w:pPr>
        <w:spacing w:before="300" w:after="120" w:line="288" w:lineRule="auto"/>
        <w:ind w:left="0"/>
        <w:jc w:val="left"/>
        <w:outlineLvl w:val="2"/>
      </w:pPr>
      <w:bookmarkStart w:id="14" w:name="heading_7"/>
      <w:bookmarkStart w:id="15" w:name="_Toc9880"/>
      <w:r>
        <w:rPr>
          <w:rFonts w:ascii="Arial" w:hAnsi="Arial" w:eastAsia="等线" w:cs="Arial"/>
          <w:b/>
          <w:sz w:val="30"/>
        </w:rPr>
        <w:t>1.7 业务假设与依赖</w:t>
      </w:r>
      <w:bookmarkEnd w:id="14"/>
      <w:bookmarkEnd w:id="15"/>
    </w:p>
    <w:p w14:paraId="18A1EE7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业务假设（AS-x）</w:t>
      </w:r>
    </w:p>
    <w:p w14:paraId="6A50BBD6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AS-1：目标用户群体（AI 开发者）具备基础的 AI 开发知识，熟悉主流 AI 框架的基本使用</w:t>
      </w:r>
    </w:p>
    <w:p w14:paraId="71F61953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AS-2：平台用户具备基础的容器与云端操作能力，或可通过平台引导快速上手</w:t>
      </w:r>
    </w:p>
    <w:p w14:paraId="6DEB85FC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AS-3：主流 AI 框架（PyTorch、TensorFlow 等）保持开源且接口兼容，无重大架构变更</w:t>
      </w:r>
    </w:p>
    <w:p w14:paraId="5FB6320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依赖项（DE-x）</w:t>
      </w:r>
    </w:p>
    <w:p w14:paraId="559EC649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DE-1：依赖容器化技术（如 Docker、Kubernetes）实现开发环境的构建与管理</w:t>
      </w:r>
    </w:p>
    <w:p w14:paraId="31C9CD5F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DE-2：依赖第三方云服务或服务器资源，提供稳定的算力与存储支持</w:t>
      </w:r>
    </w:p>
    <w:p w14:paraId="64DF91CD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DE-3：依赖主流 AI 框架的官方镜像与依赖包，确保环境构建的兼容性</w:t>
      </w:r>
    </w:p>
    <w:p w14:paraId="7E207F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771D0E">
      <w:pPr>
        <w:spacing w:before="320" w:after="120" w:line="288" w:lineRule="auto"/>
        <w:ind w:left="0"/>
        <w:jc w:val="left"/>
        <w:outlineLvl w:val="1"/>
      </w:pPr>
      <w:bookmarkStart w:id="16" w:name="heading_8"/>
      <w:bookmarkStart w:id="17" w:name="_Toc9912"/>
      <w:r>
        <w:rPr>
          <w:rFonts w:ascii="Arial" w:hAnsi="Arial" w:eastAsia="等线" w:cs="Arial"/>
          <w:b/>
          <w:sz w:val="32"/>
        </w:rPr>
        <w:t>2. 范围与限制</w:t>
      </w:r>
      <w:bookmarkEnd w:id="16"/>
      <w:bookmarkEnd w:id="17"/>
    </w:p>
    <w:p w14:paraId="091AB6D2">
      <w:pPr>
        <w:spacing w:before="300" w:after="120" w:line="288" w:lineRule="auto"/>
        <w:ind w:left="0"/>
        <w:jc w:val="left"/>
        <w:outlineLvl w:val="2"/>
      </w:pPr>
      <w:bookmarkStart w:id="18" w:name="heading_9"/>
      <w:bookmarkStart w:id="19" w:name="_Toc31999"/>
      <w:r>
        <w:rPr>
          <w:rFonts w:ascii="Arial" w:hAnsi="Arial" w:eastAsia="等线" w:cs="Arial"/>
          <w:b/>
          <w:sz w:val="30"/>
        </w:rPr>
        <w:t>2.1 主要特性（FE-x）</w:t>
      </w:r>
      <w:bookmarkEnd w:id="18"/>
      <w:bookmarkEnd w:id="1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D3A1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A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特性 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E2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特性名称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42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</w:tr>
      <w:tr w14:paraId="64FE5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0E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DB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 AI 框架支持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D4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PyTorch、TensorFlow、Caffe、PaddlePaddle 等主流 AI 计算框架，提供框架模板环境</w:t>
            </w:r>
          </w:p>
        </w:tc>
      </w:tr>
      <w:tr w14:paraId="0A9F13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8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24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容器开发环境管理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5C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支持容器开发环境的一键构建、部署、启停与销毁，提供镜像管理与版本控制功能</w:t>
            </w:r>
          </w:p>
        </w:tc>
      </w:tr>
      <w:tr w14:paraId="2BA6FC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48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DA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模型与算法管理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77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支持常用 AI 模型与算法的上传、存储、版本管理、标签分类，以及团队内共享与权限控制</w:t>
            </w:r>
          </w:p>
        </w:tc>
      </w:tr>
      <w:tr w14:paraId="07633C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DD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B8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数据集管理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30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支持数据集的上传、构建、版本管理、格式转换，提供数据集清洗、标注辅助工具（基础版）</w:t>
            </w:r>
          </w:p>
        </w:tc>
      </w:tr>
      <w:tr w14:paraId="7AB68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85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A4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开发流程自动化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7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提供从数据处理→模型训练→模型评估→部署上线的全流程自动化引导，支持一键启动训练任务</w:t>
            </w:r>
          </w:p>
        </w:tc>
      </w:tr>
      <w:tr w14:paraId="62E15F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12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4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用户与权限管理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2A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支持个人用户与团队用户模式，提供细粒度的权限控制（如数据集读写、模型共享权限）</w:t>
            </w:r>
          </w:p>
        </w:tc>
      </w:tr>
    </w:tbl>
    <w:p w14:paraId="05891EFC">
      <w:pPr>
        <w:spacing w:before="300" w:after="120" w:line="288" w:lineRule="auto"/>
        <w:ind w:left="0"/>
        <w:jc w:val="left"/>
        <w:outlineLvl w:val="2"/>
      </w:pPr>
      <w:bookmarkStart w:id="20" w:name="heading_10"/>
      <w:bookmarkStart w:id="21" w:name="_Toc23017"/>
      <w:r>
        <w:rPr>
          <w:rFonts w:ascii="Arial" w:hAnsi="Arial" w:eastAsia="等线" w:cs="Arial"/>
          <w:b/>
          <w:sz w:val="30"/>
        </w:rPr>
        <w:t>2.2 初始与后续发布的范围</w:t>
      </w:r>
      <w:bookmarkEnd w:id="20"/>
      <w:bookmarkEnd w:id="2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E9CC5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7A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特性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E4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5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 1（MVP 版本）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9B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 2（迭代 1）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0F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 3（迭代 2）</w:t>
            </w:r>
          </w:p>
        </w:tc>
      </w:tr>
      <w:tr w14:paraId="407B8D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E8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9A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 AI 框架支持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C8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PyTorch、TensorFlow 基础稳定版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5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 Caffe、PaddlePaddle 支持，提供框架版本切换功能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9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支持框架自定义配置、第三方框架扩展</w:t>
            </w:r>
          </w:p>
        </w:tc>
      </w:tr>
      <w:tr w14:paraId="2FD132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C8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F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容器开发环境管理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D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支持基础容器环境构建、部署与镜像管理，提供预置模板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D1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新增环境启停控制、资源监控、环境快照功能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D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支持自定义镜像构建、多环境并行管理、环境导出</w:t>
            </w:r>
          </w:p>
        </w:tc>
      </w:tr>
      <w:tr w14:paraId="2B0034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3F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68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模型与算法管理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E6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支持模型上传、存储、版本管理，团队内基础共享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F3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新增模型标签分类、搜索、版本对比、公开共享功能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C3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支持模型在线调试、性能评估、一键部署到容器环境</w:t>
            </w:r>
          </w:p>
        </w:tc>
      </w:tr>
      <w:tr w14:paraId="24D2C7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B7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3E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数据集管理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53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支持数据集上传、存储、基础版本管理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D5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新增数据集格式转换、基础清洗工具、数据集预览功能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40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支持数据集标注辅助、数据集版本对比、数据集共享</w:t>
            </w:r>
          </w:p>
        </w:tc>
      </w:tr>
      <w:tr w14:paraId="409136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E0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A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开发流程自动化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6A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提供数据→训练的基础流程引导，支持一键启动训练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1B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新增训练任务监控、日志查看、任务中断 / 恢复功能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49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新增训练任务调度、多任务并行、模型评估报告生成</w:t>
            </w:r>
          </w:p>
        </w:tc>
      </w:tr>
      <w:tr w14:paraId="15BEF5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09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FE-6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3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用户与权限管理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F3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支持个人用户注册登录，基础权限控制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2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新增团队创建、团队成员权限分配、资源共享权限控制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67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支持角色自定义、操作日志审计、团队资源配额管理</w:t>
            </w:r>
          </w:p>
        </w:tc>
      </w:tr>
    </w:tbl>
    <w:p w14:paraId="790982A0">
      <w:pPr>
        <w:spacing w:before="300" w:after="120" w:line="288" w:lineRule="auto"/>
        <w:ind w:left="0"/>
        <w:jc w:val="left"/>
        <w:outlineLvl w:val="2"/>
      </w:pPr>
      <w:bookmarkStart w:id="22" w:name="heading_11"/>
      <w:bookmarkStart w:id="23" w:name="_Toc14554"/>
      <w:r>
        <w:rPr>
          <w:rFonts w:ascii="Arial" w:hAnsi="Arial" w:eastAsia="等线" w:cs="Arial"/>
          <w:b/>
          <w:sz w:val="30"/>
        </w:rPr>
        <w:t>2.3 限制与排除项（LI-x）</w:t>
      </w:r>
      <w:bookmarkEnd w:id="22"/>
      <w:bookmarkEnd w:id="23"/>
    </w:p>
    <w:p w14:paraId="24B17C9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LI-1：平台初始版本不支持 AI 模型的自动调优、自动生成代码等高级 AI 开发功能，仅提供基础开发工具链</w:t>
      </w:r>
    </w:p>
    <w:p w14:paraId="0B6F11C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LI-2：平台不提供云端算力租赁服务，仅支持用户自有服务器或第三方云服务的接入，不直接提供算力资源</w:t>
      </w:r>
    </w:p>
    <w:p w14:paraId="35EE62C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LI-3：平台初始版本不支持移动端开发环境，仅支持 PC 端浏览器访问与桌面客户端（可选）</w:t>
      </w:r>
    </w:p>
    <w:p w14:paraId="2C02A79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LI-4：平台不支持非 AI 类通用软件开发，仅聚焦于 AI 开发场景的工具链支持</w:t>
      </w:r>
    </w:p>
    <w:p w14:paraId="07F2F00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LI-5：平台不提供数据集的版权合规审核服务，用户需自行确保上传数据集的合规性</w:t>
      </w:r>
    </w:p>
    <w:p w14:paraId="5680395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311D51">
      <w:pPr>
        <w:spacing w:before="320" w:after="120" w:line="288" w:lineRule="auto"/>
        <w:ind w:left="0"/>
        <w:jc w:val="left"/>
        <w:outlineLvl w:val="1"/>
      </w:pPr>
      <w:bookmarkStart w:id="24" w:name="heading_12"/>
      <w:bookmarkStart w:id="25" w:name="_Toc15402"/>
      <w:r>
        <w:rPr>
          <w:rFonts w:ascii="Arial" w:hAnsi="Arial" w:eastAsia="等线" w:cs="Arial"/>
          <w:b/>
          <w:sz w:val="32"/>
        </w:rPr>
        <w:t>3. 业务上下文</w:t>
      </w:r>
      <w:bookmarkEnd w:id="24"/>
      <w:bookmarkEnd w:id="25"/>
    </w:p>
    <w:p w14:paraId="3C2EB07C">
      <w:pPr>
        <w:spacing w:before="300" w:after="120" w:line="288" w:lineRule="auto"/>
        <w:ind w:left="0"/>
        <w:jc w:val="left"/>
        <w:outlineLvl w:val="2"/>
      </w:pPr>
      <w:bookmarkStart w:id="26" w:name="heading_13"/>
      <w:bookmarkStart w:id="27" w:name="_Toc3646"/>
      <w:r>
        <w:rPr>
          <w:rFonts w:ascii="Arial" w:hAnsi="Arial" w:eastAsia="等线" w:cs="Arial"/>
          <w:b/>
          <w:sz w:val="30"/>
        </w:rPr>
        <w:t>3.1 干系人资料</w:t>
      </w:r>
      <w:bookmarkEnd w:id="26"/>
      <w:bookmarkEnd w:id="2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46C1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94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干系人角色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FF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主要价值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1C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态度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E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主要兴趣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9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</w:tr>
      <w:tr w14:paraId="33FD1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DE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 AI 开发者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99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降低开发环境配置成本，提升开发效率，无需重复造轮子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DE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积极，愿意尝试新工具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AD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环境易用性、框架兼容性、功能轻量化、无复杂学习成本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D0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个人算力 / 存储资源有限，偏好轻量化工具</w:t>
            </w:r>
          </w:p>
        </w:tc>
      </w:tr>
      <w:tr w14:paraId="5ED077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6E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 / 团队 AI 开发者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AE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提升团队协作效率，促进模型 / 算法复用，统一开发流程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50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积极，对稳定性与安全性要求高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F1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团队权限管理、资源隔离、数据安全、协作共享能力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19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企业数据合规要求高，需支持私有部署或团队隔离</w:t>
            </w:r>
          </w:p>
        </w:tc>
      </w:tr>
      <w:tr w14:paraId="7A471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15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平台开发团队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50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完成课程项目交付，掌握 AI 平台开发流程，学习容器化与工具链集成技术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99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积极，需平衡功能复杂度与开发难度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D9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功能可实现性、技术栈兼容性、项目进度可控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5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开发周期有限，优先实现核心功能，复杂功能分阶段迭代</w:t>
            </w:r>
          </w:p>
        </w:tc>
      </w:tr>
      <w:tr w14:paraId="2D66A0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F6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任课教师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E0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审核项目可行性与完成度，指导学生规范完成需求工程流程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B1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严谨，关注项目的规范性与可落地性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20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需求文档完整性、项目结构合理性、功能与需求的匹配度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31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项目需符合课程要求，具备清晰的原型与迭代规划</w:t>
            </w:r>
          </w:p>
        </w:tc>
      </w:tr>
    </w:tbl>
    <w:p w14:paraId="4268A91E">
      <w:pPr>
        <w:spacing w:before="300" w:after="120" w:line="288" w:lineRule="auto"/>
        <w:ind w:left="0"/>
        <w:jc w:val="left"/>
        <w:outlineLvl w:val="2"/>
      </w:pPr>
      <w:bookmarkStart w:id="28" w:name="heading_14"/>
      <w:bookmarkStart w:id="29" w:name="_Toc3752"/>
      <w:r>
        <w:rPr>
          <w:rFonts w:ascii="Arial" w:hAnsi="Arial" w:eastAsia="等线" w:cs="Arial"/>
          <w:b/>
          <w:sz w:val="30"/>
        </w:rPr>
        <w:t>3.2 项目优先级（约束 / 驱动 / 自由度矩阵）</w:t>
      </w:r>
      <w:bookmarkEnd w:id="28"/>
      <w:bookmarkEnd w:id="2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63E25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6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E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约束（必须满足的条件）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F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驱动（核心目标）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11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自由度（可调整的空间）</w:t>
            </w:r>
          </w:p>
        </w:tc>
      </w:tr>
      <w:tr w14:paraId="3903D6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86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4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 1 的核心功能（框架支持、容器环境、模型 / 数据集管理）必须完整可用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8A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优先保障 AI 开发者的核心开发流程顺畅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A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高级功能（如模型调优、自动标注）可延后实现</w:t>
            </w:r>
          </w:p>
        </w:tc>
      </w:tr>
      <w:tr w14:paraId="5955F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AA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C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核心功能的用户测试通过率≥90%，无致命性 bug；容器环境构建成功率≥95%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1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保障基础开发流程的稳定性与兼容性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60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非核心功能的性能优化可后续迭代</w:t>
            </w:r>
          </w:p>
        </w:tc>
      </w:tr>
      <w:tr w14:paraId="0D3CE5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EB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5C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 1 需在课程中期完成原型开发与教师确认；后续迭代按课程进度节点推进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29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按课程时间节点完成阶段性交付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3E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无教师评审的情况下，可接受不超过 1 周的延期</w:t>
            </w:r>
          </w:p>
        </w:tc>
      </w:tr>
      <w:tr w14:paraId="4BC63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32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6D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课程项目无额外算力 / 存储成本，优先使用开源技术栈与免费资源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57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控制开发复杂度，优先实现低成本可落地的方案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37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可接受少量开源工具 / 组件的二次开发成本</w:t>
            </w:r>
          </w:p>
        </w:tc>
      </w:tr>
      <w:tr w14:paraId="3E8AB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D9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CD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开发团队为课程小组，需按角色分工完成需求、开发、测试工作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E3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平衡成员工作量，避免单人负担过重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73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可根据成员能力调整功能实现范围，优先完成核心模块</w:t>
            </w:r>
          </w:p>
        </w:tc>
      </w:tr>
    </w:tbl>
    <w:p w14:paraId="6BEF12B0">
      <w:pPr>
        <w:spacing w:before="300" w:after="120" w:line="288" w:lineRule="auto"/>
        <w:ind w:left="0"/>
        <w:jc w:val="left"/>
        <w:outlineLvl w:val="2"/>
      </w:pPr>
      <w:bookmarkStart w:id="30" w:name="heading_15"/>
      <w:bookmarkStart w:id="31" w:name="_Toc18790"/>
      <w:r>
        <w:rPr>
          <w:rFonts w:ascii="Arial" w:hAnsi="Arial" w:eastAsia="等线" w:cs="Arial"/>
          <w:b/>
          <w:sz w:val="30"/>
        </w:rPr>
        <w:t>3.3 部署考虑</w:t>
      </w:r>
      <w:bookmarkEnd w:id="30"/>
      <w:bookmarkEnd w:id="31"/>
    </w:p>
    <w:p w14:paraId="63BDDCC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初始原型版本：采用本地部署 + 轻量级服务器的方式，使用 Docker Compose 实现容器环境的本地管理，适配课程项目的开发与演示场景</w:t>
      </w:r>
    </w:p>
    <w:p w14:paraId="729DE1F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迭代版本：可扩展为云端部署，支持私有云或第三方免费云服务器，提供 Web 端访问入口，支持多用户同时使用</w:t>
      </w:r>
    </w:p>
    <w:p w14:paraId="69ADC5B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环境要求：平台支持主流浏览器（Chrome、Firefox、Edge）访问，无需安装复杂客户端；容器环境依赖 Docker 20.10 + 与 Kubernetes（可选）</w:t>
      </w:r>
    </w:p>
    <w:p w14:paraId="4A8EF57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培训与推广：制作简短的平台使用教程（视频 / 图文），提供核心功能的使用示例，帮助目标用户快速上手；针对团队用户提供基础的权限管理与协作流程说明</w:t>
      </w:r>
    </w:p>
    <w:p w14:paraId="0EE3C0A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912586">
      <w:pPr>
        <w:spacing w:before="320" w:after="120" w:line="288" w:lineRule="auto"/>
        <w:ind w:left="0"/>
        <w:jc w:val="left"/>
        <w:outlineLvl w:val="1"/>
      </w:pPr>
      <w:bookmarkStart w:id="32" w:name="heading_16"/>
      <w:bookmarkStart w:id="33" w:name="_Toc17772"/>
      <w:r>
        <w:rPr>
          <w:rFonts w:ascii="Arial" w:hAnsi="Arial" w:eastAsia="等线" w:cs="Arial"/>
          <w:b/>
          <w:sz w:val="32"/>
        </w:rPr>
        <w:t>附录：核心用例清单（愿景阶段梳理）</w:t>
      </w:r>
      <w:bookmarkEnd w:id="32"/>
      <w:bookmarkEnd w:id="3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DAE5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28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主要操作者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D1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核心用例列表</w:t>
            </w:r>
          </w:p>
        </w:tc>
      </w:tr>
      <w:tr w14:paraId="18024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5A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新手学习者（L类）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38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UC-01：创建并配置AI开发环境（选择框架、构建容器环境）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UC-03：上传/管理/构建数据集（使用预置数据集）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UC-04：启动并监控模型训练任务（基础训练）</w:t>
            </w:r>
          </w:p>
        </w:tc>
      </w:tr>
      <w:tr w14:paraId="6FDCE8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7F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进阶实践者（P类）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40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UC-01：创建并配置AI开发环境（多环境切换）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UC-02：上传/管理/共享AI模型与算法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UC-04：启动并监控模型训练任务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UC-05：查看训练日志与任务状态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UC-06：管理容器镜像与开发环境版本</w:t>
            </w:r>
          </w:p>
        </w:tc>
      </w:tr>
      <w:tr w14:paraId="6BE9D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5B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学术研究者（R类）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E4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UC-03：上传/管理/构建数据集（数据预处理）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UC-04：启动并监控模型训练任务（多卡训练）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UC-05：查看训练日志与任务状态（异常排查）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UC-06：管理容器镜像与开发环境版本（实验可复现）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UC-08：导出开发环境/模型到本地（实验备份）</w:t>
            </w:r>
          </w:p>
        </w:tc>
      </w:tr>
      <w:tr w14:paraId="4B700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1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商业开发者（B类）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BD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UC-02：上传/管理/共享AI模型与算法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UC-04：启动并监控模型训练任务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UC-07：团队内共享模型/数据集并设置权限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UC-08：导出开发环境/模型到本地（本地部署）</w:t>
            </w:r>
          </w:p>
        </w:tc>
      </w:tr>
    </w:tbl>
    <w:p w14:paraId="03A49046">
      <w:pPr>
        <w:spacing w:before="300" w:after="120" w:line="288" w:lineRule="auto"/>
        <w:ind w:left="0"/>
        <w:jc w:val="left"/>
        <w:outlineLvl w:val="2"/>
      </w:pPr>
      <w:bookmarkStart w:id="34" w:name="heading_17"/>
      <w:bookmarkStart w:id="35" w:name="_Toc27656"/>
      <w:r>
        <w:rPr>
          <w:rFonts w:ascii="Arial" w:hAnsi="Arial" w:eastAsia="等线" w:cs="Arial"/>
          <w:b/>
          <w:sz w:val="30"/>
        </w:rPr>
        <w:t>核心用例详细介绍</w:t>
      </w:r>
      <w:bookmarkEnd w:id="34"/>
      <w:bookmarkEnd w:id="35"/>
    </w:p>
    <w:p w14:paraId="51EE5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以下为各核心用例的详细说明，明确用例目标、操作流程及核心适配场景，贴合平台四类目标用户的使用需求，确保用例可落地、可验证：</w:t>
      </w:r>
    </w:p>
    <w:p w14:paraId="1C1A02A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UC-01：创建并配置AI开发环境（选择框架、构建容器环境）</w:t>
      </w:r>
      <w:r>
        <w:rPr>
          <w:rFonts w:ascii="Arial" w:hAnsi="Arial" w:eastAsia="等线" w:cs="Arial"/>
          <w:sz w:val="22"/>
        </w:rPr>
        <w:t>用例目标：帮助用户快速搭建适配自身需求的AI开发环境，无需手动配置框架依赖，降低环境搭建门槛。</w:t>
      </w:r>
    </w:p>
    <w:p w14:paraId="3FA0DA9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登录平台后，进入“环境管理”模块，选择所需AI框架（如PyTorch、TensorFlow）及版本，勾选预置依赖包，点击“一键构建”，系统自动创建容器环境，生成可直接使用的在线Notebook，支持环境快照保存。</w:t>
      </w:r>
    </w:p>
    <w:p w14:paraId="1B2D0B9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适配场景：适配所有用户类型，尤其满足新手学习者（L类）“开箱即用”的需求，同时支持进阶实践者（P类）多项目环境隔离、学术研究者（R类）多框架适配、商业开发者（B类）定制化环境配置的需求。</w:t>
      </w:r>
    </w:p>
    <w:p w14:paraId="69385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UC-02：上传/管理/共享AI模型与算法</w:t>
      </w:r>
      <w:r>
        <w:rPr>
          <w:rFonts w:ascii="Arial" w:hAnsi="Arial" w:eastAsia="等线" w:cs="Arial"/>
          <w:sz w:val="22"/>
        </w:rPr>
        <w:t>用例目标：为用户提供模型与算法的全生命周期管理，支持上传、存储、版本控制与共享，减少重复开发，提升协作效率。</w:t>
      </w:r>
    </w:p>
    <w:p w14:paraId="419B6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进入“模型管理”模块，上传本地模型文件（支持主流格式），填写模型描述、标签及版本信息，完成存储；可对模型进行版本迭代、删除、修改操作；通过权限设置，实现模型私有、团队内共享或公开共享，支持其他用户查看、调用共享模型。</w:t>
      </w:r>
    </w:p>
    <w:p w14:paraId="6184D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适配场景：主要满足学术研究者（R类）模型版本追溯、商业开发者（B类）团队模型共享、进阶实践者（P类）算法复用的需求，同时支持新手学习者（L类）调用公开模型进行学习实践。</w:t>
      </w:r>
    </w:p>
    <w:p w14:paraId="5CF64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UC-03：上传/管理/构建数据集</w:t>
      </w:r>
      <w:r>
        <w:rPr>
          <w:rFonts w:ascii="Arial" w:hAnsi="Arial" w:eastAsia="等线" w:cs="Arial"/>
          <w:sz w:val="22"/>
        </w:rPr>
        <w:t>用例目标：实现数据集的统一管理，支持数据集上传、版本控制、格式转换与基础处理，为模型训练提供高质量数据支撑。</w:t>
      </w:r>
    </w:p>
    <w:p w14:paraId="6CD93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进入“数据集管理”模块，上传本地数据集（支持多种格式），系统自动校验数据完整性；可对数据集进行版本管理、重命名、删除操作；通过内置工具完成数据格式转换、基础清洗（去重、去空值），支持数据集预览与片段导出。</w:t>
      </w:r>
    </w:p>
    <w:p w14:paraId="48AAD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适配场景：重点满足学术研究者（R类）数据集版本追溯、数据预处理的需求，同时支持商业开发者（B类）团队数据集共享、新手学习者（L类）使用预置数据集进行入门训练。</w:t>
      </w:r>
    </w:p>
    <w:p w14:paraId="02896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UC-04：启动并监控模型训练任务</w:t>
      </w:r>
      <w:r>
        <w:rPr>
          <w:rFonts w:ascii="Arial" w:hAnsi="Arial" w:eastAsia="等线" w:cs="Arial"/>
          <w:sz w:val="22"/>
        </w:rPr>
        <w:t>用例目标：支持用户一键启动模型训练任务，实时监控训练进度、日志及核心指标，确保训练过程可追溯、可管控。</w:t>
      </w:r>
    </w:p>
    <w:p w14:paraId="734F5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在已配置的开发环境中，选择数据集与模型，设置训练参数（epoch、学习率等），点击“一键启动训练”；系统自动分配计算资源，启动训练任务，实时展示训练进度、loss曲线、准确率等指标，支持训练日志实时查看与导出。</w:t>
      </w:r>
    </w:p>
    <w:p w14:paraId="57007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适配场景：适配所有直接用户，尤其满足学术研究者（R类）多卡训练、长时间训练的监控需求，商业开发者（B类）高效训练与指标追踪需求，以及新手学习者（L类）简单训练、快速验证模型的需求。</w:t>
      </w:r>
    </w:p>
    <w:p w14:paraId="68D65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UC-05：查看训练日志与任务状态</w:t>
      </w:r>
      <w:r>
        <w:rPr>
          <w:rFonts w:ascii="Arial" w:hAnsi="Arial" w:eastAsia="等线" w:cs="Arial"/>
          <w:sz w:val="22"/>
        </w:rPr>
        <w:t>用例目标：让用户实时掌握训练任务的运行状态，通过日志排查训练异常，通过状态监控合理安排后续开发工作。</w:t>
      </w:r>
    </w:p>
    <w:p w14:paraId="429B4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进入“训练管理”模块，查看所有训练任务的状态（运行中、已完成、失败、暂停）；点击具体任务，可查看实时训练日志、训练时长、核心指标变化曲线，支持日志筛选、搜索与导出，针对失败任务可查看异常原因提示。</w:t>
      </w:r>
    </w:p>
    <w:p w14:paraId="4BCF4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适配场景：重点满足学术研究者（R类）实验调试、异常排查的需求，商业开发者（B类）训练任务管控的需求，以及进阶实践者（P类）多任务并行监控的需求。</w:t>
      </w:r>
    </w:p>
    <w:p w14:paraId="5E038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UC-06：管理容器镜像与开发环境版本</w:t>
      </w:r>
      <w:r>
        <w:rPr>
          <w:rFonts w:ascii="Arial" w:hAnsi="Arial" w:eastAsia="等线" w:cs="Arial"/>
          <w:sz w:val="22"/>
        </w:rPr>
        <w:t>用例目标：实现容器镜像与开发环境的版本化管理，支持环境复用、版本回滚，避免环境配置丢失或冲突。</w:t>
      </w:r>
    </w:p>
    <w:p w14:paraId="3CB57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在“环境管理”模块，可对已创建的容器环境进行快照保存，生成环境版本；支持查看所有环境版本的创建时间、配置信息，可根据需求回滚至历史版本；对常用环境可生成镜像，用于后续快速构建相同环境，支持镜像导出与导入。</w:t>
      </w:r>
    </w:p>
    <w:p w14:paraId="6C28A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适配场景：主要满足进阶实践者（P类）多项目环境切换、环境复用的需求，商业开发者（B类）团队环境统一的需求，以及学术研究者（R类）实验环境可复现的需求。</w:t>
      </w:r>
    </w:p>
    <w:p w14:paraId="29147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UC-07：团队内共享模型/数据集并设置权限</w:t>
      </w:r>
      <w:r>
        <w:rPr>
          <w:rFonts w:ascii="Arial" w:hAnsi="Arial" w:eastAsia="等线" w:cs="Arial"/>
          <w:sz w:val="22"/>
        </w:rPr>
        <w:t>用例目标：支持团队内资源共享与权限管控，确保数据与模型的安全性，提升团队协作效率。</w:t>
      </w:r>
    </w:p>
    <w:p w14:paraId="39FE4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创建团队后，邀请成员加入；在“模型管理”“数据集管理”模块，选择需要共享的资源，设置共享权限（只读、可编辑、可管理），指定团队成员；被共享成员可根据权限查看、使用或修改共享资源，系统记录资源访问与操作日志。</w:t>
      </w:r>
    </w:p>
    <w:p w14:paraId="54BE2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适配场景：重点满足商业开发者（B类）团队协作开发、资源共享的需求，以及学术研究者（R类）团队实验协作、数据共享的需求。</w:t>
      </w:r>
    </w:p>
    <w:p w14:paraId="2589E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UC-08：导出开发环境/模型到本地</w:t>
      </w:r>
      <w:r>
        <w:rPr>
          <w:rFonts w:ascii="Arial" w:hAnsi="Arial" w:eastAsia="等线" w:cs="Arial"/>
          <w:sz w:val="22"/>
        </w:rPr>
        <w:t>用例目标：支持用户将平台中的开发环境、模型导出到本地，实现本地与云端协同开发，确保资源可备份、可迁移。</w:t>
      </w:r>
    </w:p>
    <w:p w14:paraId="2BA1E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用户在“环境管理”模块，选择需要导出的环境，点击“导出镜像”，生成本地可导入的容器镜像文件；在“模型管理”模块，选择需要导出的模型，选择导出格式，点击“导出”，将模型文件保存至本地；支持导出过程中的进度查看与中断续传。</w:t>
      </w:r>
    </w:p>
    <w:p w14:paraId="47F12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适配场景：适配所有直接用户，尤其满足商业开发者（B类）本地部署、模型备份的需求，学术研究者（R类）实验成果备份的需求，以及进阶实践者（P类）本地与云端协同开发的需求。</w:t>
      </w:r>
    </w:p>
    <w:p w14:paraId="20A835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DE618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723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0D54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010E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customStyle="1" w:styleId="7">
    <w:name w:val="封面内容"/>
    <w:basedOn w:val="6"/>
    <w:qFormat/>
    <w:uiPriority w:val="0"/>
    <w:rPr>
      <w:sz w:val="28"/>
    </w:rPr>
  </w:style>
  <w:style w:type="paragraph" w:customStyle="1" w:styleId="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6059</Words>
  <Characters>6557</Characters>
  <TotalTime>2</TotalTime>
  <ScaleCrop>false</ScaleCrop>
  <LinksUpToDate>false</LinksUpToDate>
  <CharactersWithSpaces>6753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2026-04-17T02:58:00Z</dcterms:created>
  <dc:creator>Apache POI</dc:creator>
  <cp:lastModifiedBy>銀</cp:lastModifiedBy>
  <dcterms:modified xsi:type="dcterms:W3CDTF">2026-04-17T03:06:43Z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eyJoZGlkIjoiMDMwMTk0Yjk5NGE1NzRmOGRlMzdlODdjYmVlN2Y1OGUiLCJ1c2VySWQiOiIzMDEyMDc1MzUifQ==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9025227F7B3E48BE958FBBB1A565E1D0_13</vt:lpwstr>
  </property>
</Properties>
</file>