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drawing>
          <wp:inline distR="19050" distT="19050" distB="19050" distL="19050">
            <wp:extent cy="2895600" cx="2847975"/>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2895600" cx="28479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b w:val="1"/>
          <w:smallCaps w:val="1"/>
          <w:sz w:val="52"/>
          <w:rtl w:val="0"/>
        </w:rPr>
        <w:t xml:space="preserve">Eventually Consistent Training</w:t>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smallCaps w:val="1"/>
          <w:sz w:val="44"/>
          <w:rtl w:val="0"/>
        </w:rPr>
        <w:t xml:space="preserve">2013/08</w:t>
      </w:r>
      <w:r w:rsidRPr="00000000" w:rsidR="00000000" w:rsidDel="00000000">
        <w:rPr>
          <w:rtl w:val="0"/>
        </w:rPr>
      </w:r>
    </w:p>
    <w:p w:rsidP="00000000" w:rsidRPr="00000000" w:rsidR="00000000" w:rsidDel="00000000" w:rsidRDefault="00000000">
      <w:pPr>
        <w:keepNext w:val="0"/>
        <w:keepLines w:val="0"/>
        <w:widowControl w:val="0"/>
        <w:contextualSpacing w:val="0"/>
        <w:jc w:val="both"/>
        <w:rPr/>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Core Fact: Technical Evangelists and ProServe Trainers can cooperate to deliver consistent, quality presentations.</w:t>
      </w:r>
    </w:p>
    <w:p w:rsidP="00000000" w:rsidRPr="00000000" w:rsidR="00000000" w:rsidDel="00000000" w:rsidRDefault="00000000">
      <w:pPr>
        <w:keepNext w:val="0"/>
        <w:keepLines w:val="0"/>
        <w:widowControl w:val="0"/>
        <w:contextualSpacing w:val="0"/>
        <w:jc w:val="both"/>
        <w:rPr/>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We have a directive to consolidate the messages delivered by onsite Training and TE activity while at the same time empowering the TEs to conduct short training workshops independently to increase our bandwidth.  Of course everyone will continue to have discretion over their own presentation style, but we can start by exploring common content and establishing a consistent foundation.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Summary.docx</dc:title>
</cp:coreProperties>
</file>