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drawing>
          <wp:inline distR="19050" distT="19050" distB="19050" distL="19050">
            <wp:extent cy="2895600" cx="28479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95600" cx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b w:val="1"/>
          <w:smallCaps w:val="1"/>
          <w:sz w:val="52"/>
          <w:rtl w:val="0"/>
        </w:rPr>
        <w:t xml:space="preserve">Riak 101 - Intro To Riak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smallCaps w:val="1"/>
          <w:sz w:val="44"/>
          <w:rtl w:val="0"/>
        </w:rPr>
        <w:t xml:space="preserve">2013/08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Core Fact: Riak is </w:t>
      </w:r>
      <w:r w:rsidRPr="00000000" w:rsidR="00000000" w:rsidDel="00000000">
        <w:rPr>
          <w:b w:val="1"/>
          <w:i w:val="1"/>
          <w:rtl w:val="0"/>
        </w:rPr>
        <w:t xml:space="preserve">the</w:t>
      </w:r>
      <w:r w:rsidRPr="00000000" w:rsidR="00000000" w:rsidDel="00000000">
        <w:rPr>
          <w:rtl w:val="0"/>
        </w:rPr>
        <w:t xml:space="preserve"> ops-friendly database.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Provide a very-high-level overview of Riak’s primary features, not properties, and the methods by which a developer and/or application can interface with Riak.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