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  <w:rPr/>
      </w:pPr>
      <w:r w:rsidRPr="00000000" w:rsidR="00000000" w:rsidDel="00000000">
        <w:drawing>
          <wp:inline distR="19050" distT="19050" distB="19050" distL="19050">
            <wp:extent cy="2895600" cx="284797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95600" cx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b w:val="1"/>
          <w:smallCaps w:val="1"/>
          <w:sz w:val="52"/>
          <w:rtl w:val="0"/>
        </w:rPr>
        <w:t xml:space="preserve">Principles of Adult Learning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smallCaps w:val="1"/>
          <w:sz w:val="44"/>
          <w:rtl w:val="0"/>
        </w:rPr>
        <w:t xml:space="preserve">2013/08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Core Fact: Adults can only learn new material if key conditions are met.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There is no standard model for Adult Learning, but the field can be sliced into a few paradigms that are practical to implement in a training environment.  We review a simplified model: Relevance, Consilience, and Reflection.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Summary.docx</dc:title>
</cp:coreProperties>
</file>