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drawing>
          <wp:inline distR="19050" distT="19050" distB="19050" distL="19050">
            <wp:extent cy="2895600" cx="2847975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895600" cx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b w:val="1"/>
          <w:smallCaps w:val="1"/>
          <w:sz w:val="52"/>
          <w:rtl w:val="0"/>
        </w:rPr>
        <w:t xml:space="preserve">Riak 103 - Standard Operating Procedure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smallCaps w:val="1"/>
          <w:sz w:val="44"/>
          <w:rtl w:val="0"/>
        </w:rPr>
        <w:t xml:space="preserve">2013/10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  <w:t xml:space="preserve">Core Fact: Riak is A DATABASE, if you keep that in mind you might not setup something optimal, but you won’t set up something horrible.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  <w:t xml:space="preserve">Provide a very-high-level overview of Riak operations.  Basic tuning guidelines, capacity planning, storage backends, backup strategies, and and common errors and problems.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Summary.docx</dc:title>
</cp:coreProperties>
</file>