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drawing>
          <wp:inline distR="19050" distT="19050" distB="19050" distL="19050">
            <wp:extent cy="2895600" cx="28479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95600" cx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b w:val="1"/>
          <w:smallCaps w:val="1"/>
          <w:sz w:val="52"/>
          <w:rtl w:val="0"/>
        </w:rPr>
        <w:t xml:space="preserve">Training Module API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smallCaps w:val="1"/>
          <w:sz w:val="44"/>
          <w:rtl w:val="0"/>
        </w:rPr>
        <w:t xml:space="preserve">2013/08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Core Fact: Follow a collaborative process to reuse training material.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Share stuff via google drive.  Nathan is the gatekeeper for ‘official’ material changes at this time.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Summary.docx</dc:title>
</cp:coreProperties>
</file>