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Import Document</w:t>
      </w:r>
    </w:p>
    <w:p>
      <w:r>
        <w:t>This DOCX file tests resource import in week two. It contains headings, plain paragraphs, and a short list.</w:t>
      </w:r>
    </w:p>
    <w:p>
      <w:pPr>
        <w:pStyle w:val="Heading2"/>
      </w:pPr>
      <w:r>
        <w:t>中英混排段落</w:t>
      </w:r>
    </w:p>
    <w:p>
      <w:r>
        <w:t>词汇的掌握不是二元状态。A word moves from recognition to production gradually, 因此系统需要记录多次遇见的语境。</w:t>
      </w:r>
    </w:p>
    <w:p>
      <w:pPr>
        <w:pStyle w:val="ListBullet"/>
      </w:pPr>
      <w:r>
        <w:t>First list item about spaced repetition.</w:t>
      </w:r>
    </w:p>
    <w:p>
      <w:pPr>
        <w:pStyle w:val="ListBullet"/>
      </w:pPr>
      <w:r>
        <w:t>Second list item about retrieval practice.</w:t>
      </w:r>
    </w:p>
    <w:p>
      <w:r>
        <w:t>Closing paragraph: the parser should preserve paragraph order and heading levels.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