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426E9">
      <w:pPr>
        <w:jc w:val="center"/>
        <w:rPr>
          <w:bCs/>
          <w:szCs w:val="21"/>
        </w:rPr>
      </w:pPr>
    </w:p>
    <w:p w14:paraId="6965A3B7">
      <w:pPr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762000" cy="771525"/>
            <wp:effectExtent l="19050" t="0" r="0" b="0"/>
            <wp:docPr id="2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4692F8">
      <w:pPr>
        <w:jc w:val="center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3724275" cy="1047750"/>
            <wp:effectExtent l="1905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813F16">
      <w:pPr>
        <w:jc w:val="center"/>
        <w:rPr>
          <w:rFonts w:eastAsia="黑体"/>
          <w:b/>
          <w:bCs/>
          <w:sz w:val="56"/>
          <w:szCs w:val="60"/>
        </w:rPr>
      </w:pPr>
    </w:p>
    <w:p w14:paraId="41D04278">
      <w:pPr>
        <w:jc w:val="center"/>
        <w:rPr>
          <w:rFonts w:eastAsia="黑体"/>
          <w:b/>
          <w:bCs/>
          <w:sz w:val="56"/>
          <w:szCs w:val="60"/>
        </w:rPr>
      </w:pPr>
      <w:r>
        <w:rPr>
          <w:rFonts w:hint="eastAsia" w:eastAsia="黑体"/>
          <w:b/>
          <w:bCs/>
          <w:sz w:val="56"/>
          <w:szCs w:val="60"/>
        </w:rPr>
        <w:t>本科生毕业设计（论文）开题报告</w:t>
      </w:r>
    </w:p>
    <w:p w14:paraId="6D92C564">
      <w:pPr>
        <w:rPr>
          <w:sz w:val="30"/>
        </w:rPr>
      </w:pPr>
    </w:p>
    <w:tbl>
      <w:tblPr>
        <w:tblStyle w:val="5"/>
        <w:tblW w:w="1029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0"/>
        <w:gridCol w:w="6438"/>
      </w:tblGrid>
      <w:tr w14:paraId="3BD49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  <w:jc w:val="center"/>
        </w:trPr>
        <w:tc>
          <w:tcPr>
            <w:tcW w:w="3860" w:type="dxa"/>
            <w:vAlign w:val="center"/>
          </w:tcPr>
          <w:p w14:paraId="32AB7854">
            <w:pPr>
              <w:jc w:val="center"/>
              <w:rPr>
                <w:sz w:val="30"/>
              </w:rPr>
            </w:pPr>
            <w:r>
              <w:rPr>
                <w:rFonts w:hint="eastAsia" w:eastAsia="黑体"/>
                <w:b/>
                <w:sz w:val="36"/>
              </w:rPr>
              <w:t>设计（论文）题目</w:t>
            </w:r>
          </w:p>
        </w:tc>
        <w:tc>
          <w:tcPr>
            <w:tcW w:w="6438" w:type="dxa"/>
            <w:tcBorders>
              <w:bottom w:val="single" w:color="auto" w:sz="4" w:space="0"/>
            </w:tcBorders>
            <w:vAlign w:val="center"/>
          </w:tcPr>
          <w:p w14:paraId="7733F0AD">
            <w:pPr>
              <w:jc w:val="center"/>
              <w:rPr>
                <w:rFonts w:eastAsia="黑体"/>
                <w:bCs/>
                <w:kern w:val="0"/>
                <w:sz w:val="36"/>
                <w:szCs w:val="36"/>
              </w:rPr>
            </w:pPr>
            <w:r>
              <w:rPr>
                <w:rFonts w:hint="eastAsia" w:eastAsia="黑体"/>
                <w:bCs/>
                <w:kern w:val="0"/>
                <w:sz w:val="36"/>
                <w:szCs w:val="36"/>
              </w:rPr>
              <w:t>基于LangChain框架的Agent</w:t>
            </w:r>
          </w:p>
          <w:p w14:paraId="1EA5059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 w:eastAsia="黑体"/>
                <w:bCs/>
                <w:kern w:val="0"/>
                <w:sz w:val="36"/>
                <w:szCs w:val="36"/>
              </w:rPr>
              <w:t>设计开发平台</w:t>
            </w:r>
          </w:p>
        </w:tc>
      </w:tr>
    </w:tbl>
    <w:p w14:paraId="658C3D0B"/>
    <w:p w14:paraId="500EB92B"/>
    <w:p w14:paraId="5FE28F38"/>
    <w:p w14:paraId="119D4711"/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3763"/>
      </w:tblGrid>
      <w:tr w14:paraId="7D746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59BC03FB">
            <w:pPr>
              <w:spacing w:line="480" w:lineRule="auto"/>
              <w:jc w:val="distribute"/>
              <w:rPr>
                <w:rFonts w:hint="eastAsia"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学院：</w:t>
            </w:r>
          </w:p>
        </w:tc>
        <w:tc>
          <w:tcPr>
            <w:tcW w:w="3763" w:type="dxa"/>
            <w:tcBorders>
              <w:bottom w:val="single" w:color="auto" w:sz="4" w:space="0"/>
            </w:tcBorders>
          </w:tcPr>
          <w:p w14:paraId="1CF1A5DA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计算机学院</w:t>
            </w:r>
          </w:p>
        </w:tc>
      </w:tr>
      <w:tr w14:paraId="013C1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54906D0">
            <w:pPr>
              <w:spacing w:line="480" w:lineRule="auto"/>
              <w:jc w:val="distribute"/>
              <w:rPr>
                <w:rFonts w:hint="eastAsia"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专业：</w:t>
            </w:r>
          </w:p>
        </w:tc>
        <w:tc>
          <w:tcPr>
            <w:tcW w:w="3763" w:type="dxa"/>
            <w:tcBorders>
              <w:top w:val="single" w:color="auto" w:sz="4" w:space="0"/>
              <w:bottom w:val="single" w:color="auto" w:sz="4" w:space="0"/>
            </w:tcBorders>
          </w:tcPr>
          <w:p w14:paraId="0D975246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网络工程</w:t>
            </w:r>
          </w:p>
        </w:tc>
      </w:tr>
      <w:tr w14:paraId="04FAA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8AD3E91">
            <w:pPr>
              <w:spacing w:line="480" w:lineRule="auto"/>
              <w:jc w:val="distribute"/>
              <w:rPr>
                <w:rFonts w:hint="eastAsia"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年级班别：</w:t>
            </w:r>
          </w:p>
        </w:tc>
        <w:tc>
          <w:tcPr>
            <w:tcW w:w="3763" w:type="dxa"/>
            <w:tcBorders>
              <w:top w:val="single" w:color="auto" w:sz="4" w:space="0"/>
              <w:bottom w:val="single" w:color="auto" w:sz="4" w:space="0"/>
            </w:tcBorders>
          </w:tcPr>
          <w:p w14:paraId="2946320C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2022级(4)班</w:t>
            </w:r>
          </w:p>
        </w:tc>
      </w:tr>
      <w:tr w14:paraId="1A37C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200A4024">
            <w:pPr>
              <w:spacing w:line="480" w:lineRule="auto"/>
              <w:jc w:val="distribute"/>
              <w:rPr>
                <w:rFonts w:hint="eastAsia"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学生姓名：</w:t>
            </w:r>
          </w:p>
        </w:tc>
        <w:tc>
          <w:tcPr>
            <w:tcW w:w="3763" w:type="dxa"/>
            <w:tcBorders>
              <w:top w:val="single" w:color="auto" w:sz="4" w:space="0"/>
              <w:bottom w:val="single" w:color="auto" w:sz="4" w:space="0"/>
            </w:tcBorders>
          </w:tcPr>
          <w:p w14:paraId="444B5CE6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张连登</w:t>
            </w:r>
          </w:p>
        </w:tc>
      </w:tr>
      <w:tr w14:paraId="5BA98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6943E806">
            <w:pPr>
              <w:spacing w:line="480" w:lineRule="auto"/>
              <w:jc w:val="distribute"/>
              <w:rPr>
                <w:rFonts w:hint="eastAsia"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学生学号：</w:t>
            </w:r>
          </w:p>
        </w:tc>
        <w:tc>
          <w:tcPr>
            <w:tcW w:w="3763" w:type="dxa"/>
            <w:tcBorders>
              <w:top w:val="single" w:color="auto" w:sz="4" w:space="0"/>
              <w:bottom w:val="single" w:color="auto" w:sz="4" w:space="0"/>
            </w:tcBorders>
          </w:tcPr>
          <w:p w14:paraId="6D291222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3122004801</w:t>
            </w:r>
          </w:p>
        </w:tc>
      </w:tr>
      <w:tr w14:paraId="2945D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11D4611E">
            <w:pPr>
              <w:spacing w:line="480" w:lineRule="auto"/>
              <w:jc w:val="distribute"/>
              <w:rPr>
                <w:rFonts w:hint="eastAsia"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指导教师：</w:t>
            </w:r>
          </w:p>
        </w:tc>
        <w:tc>
          <w:tcPr>
            <w:tcW w:w="3763" w:type="dxa"/>
            <w:tcBorders>
              <w:top w:val="single" w:color="auto" w:sz="4" w:space="0"/>
              <w:bottom w:val="single" w:color="auto" w:sz="4" w:space="0"/>
            </w:tcBorders>
          </w:tcPr>
          <w:p w14:paraId="1B9E76F2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李敏</w:t>
            </w:r>
          </w:p>
        </w:tc>
      </w:tr>
    </w:tbl>
    <w:p w14:paraId="31CFBEB2"/>
    <w:p w14:paraId="09D371FB"/>
    <w:p w14:paraId="0FC87052"/>
    <w:p w14:paraId="765CD89E">
      <w:pPr>
        <w:jc w:val="center"/>
      </w:pPr>
      <w:r>
        <w:rPr>
          <w:rFonts w:hint="eastAsia"/>
        </w:rPr>
        <w:t>填表时间： 2026 年 1 月 10 日</w:t>
      </w:r>
    </w:p>
    <w:p w14:paraId="091B325F">
      <w:pPr>
        <w:jc w:val="center"/>
      </w:pPr>
    </w:p>
    <w:p w14:paraId="3E32A5E9"/>
    <w:p w14:paraId="1789ADDE">
      <w:pPr>
        <w:jc w:val="center"/>
        <w:sectPr>
          <w:footerReference r:id="rId3" w:type="default"/>
          <w:footerReference r:id="rId4" w:type="even"/>
          <w:pgSz w:w="11907" w:h="16840"/>
          <w:pgMar w:top="1701" w:right="1157" w:bottom="936" w:left="1440" w:header="851" w:footer="992" w:gutter="0"/>
          <w:cols w:space="425" w:num="1"/>
          <w:titlePg/>
          <w:docGrid w:type="lines" w:linePitch="312" w:charSpace="0"/>
        </w:sectPr>
      </w:pPr>
    </w:p>
    <w:p w14:paraId="7B7B3C53"/>
    <w:tbl>
      <w:tblPr>
        <w:tblStyle w:val="5"/>
        <w:tblW w:w="9197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7"/>
      </w:tblGrid>
      <w:tr w14:paraId="502794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</w:tblPrEx>
        <w:trPr>
          <w:trHeight w:val="2017" w:hRule="atLeast"/>
        </w:trPr>
        <w:tc>
          <w:tcPr>
            <w:tcW w:w="9197" w:type="dxa"/>
          </w:tcPr>
          <w:p w14:paraId="2C95A916">
            <w:pPr>
              <w:spacing w:line="360" w:lineRule="auto"/>
              <w:rPr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一、课题背景及意义</w:t>
            </w:r>
          </w:p>
          <w:p w14:paraId="5569DB76">
            <w:pPr>
              <w:spacing w:line="360" w:lineRule="auto"/>
              <w:ind w:firstLine="482" w:firstLineChars="200"/>
              <w:rPr>
                <w:bCs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Cs/>
                <w:sz w:val="24"/>
              </w:rPr>
              <w:t>、课题背景</w:t>
            </w:r>
          </w:p>
          <w:p w14:paraId="374E8A97">
            <w:pPr>
              <w:spacing w:line="360" w:lineRule="auto"/>
              <w:ind w:firstLine="480"/>
              <w:rPr>
                <w:bCs/>
                <w:sz w:val="24"/>
              </w:rPr>
            </w:pPr>
            <w:r>
              <w:rPr>
                <w:bCs/>
                <w:sz w:val="24"/>
              </w:rPr>
              <w:t>近年来，预训练语言模型（LLM）在参数规模、训练数据与推理能力方面持续跃迁，在零样本与少样本条件下展现出强大的语言理解、生成与推理能力。与此同时，围绕工具使用、检索增强、程序与网页操作等“外部行动”能力的研究迅速发展，促使研究者将语言推理与行动执行联合起来，形成以ReAct（Reasoning + Acting）为代表的智能体（Agent）范式。与仅依赖语言输出的传统对话系统相比，LLM Agent更强调与环境的交互、对外部知识与工具的灵活调用，以及可回溯的推理-行动轨迹，从而在复杂、开放领域任务中实现更稳定的目标达成。然而，当前智能体仍面临诸多研究痛点：在认知层面上，信息检索不充分，工具调用不稳定，长上下文遗忘与幻觉问题，推理轨迹不可解释，难以审计等；在工程落地上，任务分解、行动规划、失败恢复与安全边界控制等也亟待系统化的设计与评测机制。本课题以“语言推理-外部行动-记忆与反思”的闭环为核心，结合ReAct范式、检索增强（RAG）与多步规划策略，提出一套可复用、可扩展、可评估的LLM Agent方法框架与原型系统，提升智能体在复杂场景下的可靠性与实用性。</w:t>
            </w:r>
          </w:p>
          <w:p w14:paraId="6C338A52">
            <w:pPr>
              <w:spacing w:line="360" w:lineRule="auto"/>
              <w:ind w:firstLine="498" w:firstLineChars="200"/>
              <w:rPr>
                <w:b/>
                <w:sz w:val="24"/>
              </w:rPr>
            </w:pPr>
            <w:r>
              <w:rPr>
                <w:b/>
                <w:bCs/>
                <w:color w:val="060607"/>
                <w:spacing w:val="4"/>
                <w:kern w:val="0"/>
                <w:sz w:val="24"/>
              </w:rPr>
              <w:t>2、课题</w:t>
            </w:r>
            <w:r>
              <w:rPr>
                <w:rFonts w:hint="eastAsia"/>
                <w:b/>
                <w:sz w:val="24"/>
              </w:rPr>
              <w:t>意义</w:t>
            </w:r>
          </w:p>
          <w:p w14:paraId="75D7DE40">
            <w:pPr>
              <w:spacing w:line="360" w:lineRule="auto"/>
              <w:ind w:firstLine="480" w:firstLineChars="200"/>
              <w:rPr>
                <w:bCs/>
                <w:sz w:val="24"/>
              </w:rPr>
            </w:pPr>
            <w:r>
              <w:rPr>
                <w:bCs/>
                <w:sz w:val="24"/>
              </w:rPr>
              <w:t>研究意义体现在以下</w:t>
            </w:r>
            <w:r>
              <w:rPr>
                <w:rFonts w:hint="eastAsia"/>
                <w:bCs/>
                <w:sz w:val="24"/>
              </w:rPr>
              <w:t>几个</w:t>
            </w:r>
            <w:r>
              <w:rPr>
                <w:bCs/>
                <w:sz w:val="24"/>
              </w:rPr>
              <w:t xml:space="preserve">方面： </w:t>
            </w:r>
          </w:p>
          <w:p w14:paraId="745C7BD2">
            <w:pPr>
              <w:pStyle w:val="11"/>
              <w:numPr>
                <w:ilvl w:val="0"/>
                <w:numId w:val="1"/>
              </w:numPr>
              <w:spacing w:line="360" w:lineRule="auto"/>
              <w:ind w:left="60" w:leftChars="0" w:firstLine="480"/>
              <w:rPr>
                <w:bCs/>
                <w:sz w:val="24"/>
              </w:rPr>
            </w:pPr>
            <w:r>
              <w:rPr>
                <w:bCs/>
                <w:sz w:val="24"/>
              </w:rPr>
              <w:t>学术层面，通过结构化的轨迹记录与可解释评测，推进“推理-行动协同”的系统性方法研究，丰富对智能体记忆、反思与检索增强的机制理解；</w:t>
            </w:r>
          </w:p>
          <w:p w14:paraId="29FF01EE">
            <w:pPr>
              <w:pStyle w:val="11"/>
              <w:numPr>
                <w:ilvl w:val="0"/>
                <w:numId w:val="1"/>
              </w:numPr>
              <w:spacing w:line="360" w:lineRule="auto"/>
              <w:ind w:left="60" w:leftChars="0" w:firstLine="480"/>
              <w:rPr>
                <w:bCs/>
                <w:sz w:val="24"/>
              </w:rPr>
            </w:pPr>
            <w:r>
              <w:rPr>
                <w:bCs/>
                <w:sz w:val="24"/>
              </w:rPr>
              <w:t>工程与应用层面，面向信息获取、知识性任务执行与人机协作等场景，提供通用的架构与实现参考，降低构建智能体系统的门槛，提高任务成功率与可靠性，为行业落地与产品化探索提供基础。</w:t>
            </w:r>
          </w:p>
          <w:p w14:paraId="6888D6F1">
            <w:pPr>
              <w:pStyle w:val="11"/>
              <w:numPr>
                <w:ilvl w:val="0"/>
                <w:numId w:val="1"/>
              </w:numPr>
              <w:spacing w:line="360" w:lineRule="auto"/>
              <w:ind w:left="60" w:leftChars="0" w:firstLine="480"/>
              <w:rPr>
                <w:bCs/>
                <w:sz w:val="24"/>
              </w:rPr>
            </w:pPr>
            <w:r>
              <w:rPr>
                <w:bCs/>
                <w:sz w:val="24"/>
              </w:rPr>
              <w:t>行业应用层面意义：一方面，提升复杂任务的成功率与可审计性，适用于企业知识检索与问答、客服质检与助理、流程自动化（RPA+Agent）、跨系统信息集成与数据洞察、研发与运维助理以及合规审计与风险排查等典型场景；另一方面，通过标准化的任务分解、工具路由与错误恢复机制，显著降低系统集成与运维成本，增强在多源数据、跨平台工具与动态网页环境中的鲁棒性与可迁移性。</w:t>
            </w:r>
          </w:p>
          <w:p w14:paraId="1F2DC1DB">
            <w:pPr>
              <w:pStyle w:val="11"/>
              <w:numPr>
                <w:ilvl w:val="0"/>
                <w:numId w:val="1"/>
              </w:numPr>
              <w:spacing w:line="360" w:lineRule="auto"/>
              <w:ind w:left="60" w:leftChars="0" w:firstLine="480"/>
              <w:rPr>
                <w:bCs/>
                <w:sz w:val="24"/>
              </w:rPr>
            </w:pPr>
            <w:r>
              <w:rPr>
                <w:bCs/>
                <w:sz w:val="24"/>
              </w:rPr>
              <w:t>安全与治理意义：围绕权限边界、失败回滚与审计日志的设计，促进“可追责、可解释、可回放”的人机协作流程，降低幻觉与越权带来的运营风险；结合敏感信息过滤与数据来源标注，完善企业级合规框架下的使用边界与治理规范。</w:t>
            </w:r>
          </w:p>
          <w:p w14:paraId="36C57508">
            <w:pPr>
              <w:pStyle w:val="11"/>
              <w:numPr>
                <w:ilvl w:val="0"/>
                <w:numId w:val="1"/>
              </w:numPr>
              <w:spacing w:line="360" w:lineRule="auto"/>
              <w:ind w:left="60" w:leftChars="0" w:firstLine="480"/>
              <w:rPr>
                <w:bCs/>
                <w:sz w:val="24"/>
              </w:rPr>
            </w:pPr>
            <w:r>
              <w:rPr>
                <w:bCs/>
                <w:sz w:val="24"/>
              </w:rPr>
              <w:t>方法与生态意义：本课题通过开放的模块接口、轨迹记录标准与统一评测基准，推动智能体生态的互操作与复现，促进科研与产业协同，形成“方法—数据—工具—评测”闭环，减少重复建设，提高社区共识与工程可持续性。</w:t>
            </w:r>
          </w:p>
        </w:tc>
      </w:tr>
    </w:tbl>
    <w:p w14:paraId="14C9785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若所填内容超出此页可另加页，页码顺延。</w:t>
      </w:r>
    </w:p>
    <w:p w14:paraId="60B92510"/>
    <w:tbl>
      <w:tblPr>
        <w:tblStyle w:val="5"/>
        <w:tblpPr w:leftFromText="180" w:rightFromText="180" w:vertAnchor="text" w:horzAnchor="page" w:tblpX="1615" w:tblpY="12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1"/>
      </w:tblGrid>
      <w:tr w14:paraId="3ECA54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</w:tblPrEx>
        <w:tc>
          <w:tcPr>
            <w:tcW w:w="9211" w:type="dxa"/>
          </w:tcPr>
          <w:p w14:paraId="235CB0A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二、课题的主要内容</w:t>
            </w:r>
          </w:p>
          <w:p w14:paraId="389E6B26">
            <w:pPr>
              <w:spacing w:line="360" w:lineRule="auto"/>
              <w:ind w:firstLine="482" w:firstLineChars="200"/>
              <w:rPr>
                <w:sz w:val="24"/>
              </w:rPr>
            </w:pPr>
            <w:r>
              <w:rPr>
                <w:b/>
                <w:bCs/>
                <w:sz w:val="24"/>
              </w:rPr>
              <w:t>1、</w:t>
            </w:r>
            <w:r>
              <w:rPr>
                <w:sz w:val="24"/>
              </w:rPr>
              <w:t>文献综述与问题界定</w:t>
            </w:r>
          </w:p>
          <w:p w14:paraId="214CB9FB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系统梳理LLM智能体研究脉络，重点分析ReAct、检索增强、记忆/反思、多步规划与多智能体协同等关键机制，明确开放领域任务中的挑战与评测维度，形成问题定义与研究假设。</w:t>
            </w:r>
          </w:p>
          <w:p w14:paraId="5BAAAD23">
            <w:pPr>
              <w:spacing w:line="360" w:lineRule="auto"/>
              <w:ind w:firstLine="482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</w:t>
            </w:r>
            <w:r>
              <w:rPr>
                <w:b/>
                <w:bCs/>
                <w:sz w:val="24"/>
              </w:rPr>
              <w:t>、</w:t>
            </w:r>
            <w:r>
              <w:rPr>
                <w:sz w:val="24"/>
              </w:rPr>
              <w:t>架构设计</w:t>
            </w:r>
          </w:p>
          <w:p w14:paraId="0EE1ADF5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围绕“规划—检索—推理—行动—记忆—反思”的闭环流程，设计模块接口与数据流，规范状态缓存（context/state）、工具路由（tool routing）、轨迹记录与回放（trajectory logging &amp; replay），为复现实验与工程扩展提供统一规范。</w:t>
            </w:r>
          </w:p>
          <w:p w14:paraId="48A4BC8F">
            <w:pPr>
              <w:spacing w:line="360" w:lineRule="auto"/>
              <w:ind w:firstLine="482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</w:t>
            </w:r>
            <w:r>
              <w:rPr>
                <w:b/>
                <w:bCs/>
                <w:sz w:val="24"/>
              </w:rPr>
              <w:t>、</w:t>
            </w:r>
            <w:r>
              <w:rPr>
                <w:sz w:val="24"/>
              </w:rPr>
              <w:t>策略实现</w:t>
            </w:r>
          </w:p>
          <w:p w14:paraId="6308DF59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实现基于ReAct的轨迹生成器与动作选择器，支持网页/API/数据库等工具调用，提供错误检测与恢复机制；构建Chain-of-Thought（CoT）、Plan-then-Act等基线策略，便于对比与消融研究。</w:t>
            </w:r>
          </w:p>
          <w:p w14:paraId="7233C5AD">
            <w:pPr>
              <w:spacing w:line="360" w:lineRule="auto"/>
              <w:ind w:firstLine="482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4</w:t>
            </w:r>
            <w:r>
              <w:rPr>
                <w:b/>
                <w:bCs/>
                <w:sz w:val="24"/>
              </w:rPr>
              <w:t>、</w:t>
            </w:r>
            <w:r>
              <w:rPr>
                <w:sz w:val="24"/>
              </w:rPr>
              <w:t>数据与任务</w:t>
            </w:r>
          </w:p>
          <w:p w14:paraId="0D95A215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设计代表性任务集与示例，覆盖信息检索问答、复杂任务分解与跨页面操作，既包含可量化的小型基准，也包含贴近真实场景的复合任务，便于评估通用性与鲁棒性。</w:t>
            </w:r>
          </w:p>
          <w:p w14:paraId="03343982">
            <w:pPr>
              <w:spacing w:line="360" w:lineRule="auto"/>
              <w:ind w:firstLine="482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5</w:t>
            </w:r>
            <w:r>
              <w:rPr>
                <w:b/>
                <w:bCs/>
                <w:sz w:val="24"/>
              </w:rPr>
              <w:t>、</w:t>
            </w:r>
            <w:r>
              <w:rPr>
                <w:sz w:val="24"/>
              </w:rPr>
              <w:t>评测指标</w:t>
            </w:r>
          </w:p>
          <w:p w14:paraId="306259A4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从准确率、任务成功率、效率（平均步数/耗时）、轨迹可解释性、鲁棒性（噪声与干扰下表现）与安全性（误用/越权防护）等维度建立评价体系，并提供统一记录与可视化。</w:t>
            </w:r>
          </w:p>
          <w:p w14:paraId="48B075CA">
            <w:pPr>
              <w:spacing w:line="360" w:lineRule="auto"/>
              <w:ind w:firstLine="482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6</w:t>
            </w:r>
            <w:r>
              <w:rPr>
                <w:b/>
                <w:bCs/>
                <w:sz w:val="24"/>
              </w:rPr>
              <w:t>、</w:t>
            </w:r>
            <w:r>
              <w:rPr>
                <w:sz w:val="24"/>
              </w:rPr>
              <w:t>风险与伦理</w:t>
            </w:r>
          </w:p>
          <w:p w14:paraId="7D710EA7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分析错误传播与幻觉来源，制定知识来源标注、敏感信息过滤、失败回滚与审计日志等策略，明确使用边界与责任约束。</w:t>
            </w:r>
          </w:p>
        </w:tc>
      </w:tr>
    </w:tbl>
    <w:p w14:paraId="6A18D108"/>
    <w:tbl>
      <w:tblPr>
        <w:tblStyle w:val="5"/>
        <w:tblW w:w="0" w:type="auto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8"/>
      </w:tblGrid>
      <w:tr w14:paraId="4297EC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4223" w:hRule="atLeast"/>
        </w:trPr>
        <w:tc>
          <w:tcPr>
            <w:tcW w:w="9158" w:type="dxa"/>
            <w:tcBorders>
              <w:bottom w:val="single" w:color="auto" w:sz="12" w:space="0"/>
            </w:tcBorders>
          </w:tcPr>
          <w:p w14:paraId="5F56C559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三、课题的研究（或调研）方案</w:t>
            </w:r>
          </w:p>
          <w:p w14:paraId="3FE5FE01">
            <w:pPr>
              <w:tabs>
                <w:tab w:val="left" w:pos="8070"/>
              </w:tabs>
              <w:spacing w:line="360" w:lineRule="auto"/>
              <w:ind w:left="480" w:leftChars="0" w:firstLine="482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、</w:t>
            </w:r>
            <w:r>
              <w:rPr>
                <w:sz w:val="24"/>
              </w:rPr>
              <w:t>方法路线</w:t>
            </w:r>
          </w:p>
          <w:p w14:paraId="0A242648">
            <w:pPr>
              <w:tabs>
                <w:tab w:val="left" w:pos="8070"/>
              </w:tabs>
              <w:spacing w:line="360" w:lineRule="auto"/>
              <w:ind w:left="480" w:leftChars="0" w:firstLine="480" w:firstLineChars="200"/>
              <w:rPr>
                <w:sz w:val="24"/>
              </w:rPr>
            </w:pPr>
            <w:r>
              <w:rPr>
                <w:sz w:val="24"/>
              </w:rPr>
              <w:t>以文献调研为起点，形成明确的研究问题与评价标准；据此完成方法与架构设计，实现原型系统并建立标准化数据与任务；在统一评测框架下开展对比与消融实验，分析不同模块与策略的贡献；最后汇总结论与局限，提出改进方向与应用展望。</w:t>
            </w:r>
          </w:p>
          <w:p w14:paraId="21D8BBA1">
            <w:pPr>
              <w:tabs>
                <w:tab w:val="left" w:pos="8070"/>
              </w:tabs>
              <w:spacing w:line="360" w:lineRule="auto"/>
              <w:ind w:left="480" w:leftChars="0" w:firstLine="482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</w:t>
            </w:r>
            <w:r>
              <w:rPr>
                <w:b/>
                <w:bCs/>
                <w:sz w:val="24"/>
              </w:rPr>
              <w:t>、</w:t>
            </w:r>
            <w:r>
              <w:rPr>
                <w:sz w:val="24"/>
              </w:rPr>
              <w:t>技术路线</w:t>
            </w:r>
          </w:p>
          <w:p w14:paraId="27DD614A">
            <w:pPr>
              <w:tabs>
                <w:tab w:val="left" w:pos="8070"/>
              </w:tabs>
              <w:spacing w:line="360" w:lineRule="auto"/>
              <w:ind w:left="480" w:leftChars="0" w:firstLine="480" w:firstLineChars="200"/>
              <w:rPr>
                <w:sz w:val="24"/>
              </w:rPr>
            </w:pPr>
            <w:r>
              <w:rPr>
                <w:sz w:val="24"/>
              </w:rPr>
              <w:t>选取适配中文/多语场景的LLM与开源智能体组件，复现ReAct轨迹生成与工具调用；构建检索增强（RAG）链路与长上下文记忆/反思模块，提供状态管理与轨迹日志；集成网页/API/数据库等工具接口，并实现错误检测、重试与回滚机制。</w:t>
            </w:r>
          </w:p>
          <w:p w14:paraId="5EBD76E2">
            <w:pPr>
              <w:tabs>
                <w:tab w:val="left" w:pos="8070"/>
              </w:tabs>
              <w:spacing w:line="360" w:lineRule="auto"/>
              <w:ind w:left="480" w:leftChars="0" w:firstLine="482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</w:t>
            </w:r>
            <w:r>
              <w:rPr>
                <w:b/>
                <w:bCs/>
                <w:sz w:val="24"/>
              </w:rPr>
              <w:t>、</w:t>
            </w:r>
            <w:r>
              <w:rPr>
                <w:sz w:val="24"/>
              </w:rPr>
              <w:t>实验设计</w:t>
            </w:r>
          </w:p>
          <w:p w14:paraId="72EA1225">
            <w:pPr>
              <w:tabs>
                <w:tab w:val="left" w:pos="8070"/>
              </w:tabs>
              <w:spacing w:line="360" w:lineRule="auto"/>
              <w:ind w:left="480" w:leftChars="0" w:firstLine="480" w:firstLineChars="200"/>
              <w:rPr>
                <w:sz w:val="24"/>
              </w:rPr>
            </w:pPr>
            <w:r>
              <w:rPr>
                <w:sz w:val="24"/>
              </w:rPr>
              <w:t>选取3–5个典型任务场景，统一输入格式与评价标准，记录完整的“推理—行动”中间轨迹以支持事后分析。对比基线（如CoT、无检索/仅检索、无记忆/仅记忆等），进行消融实验以量化各模块的作用；评估效率与鲁棒性，分析失败样例与风险来源。</w:t>
            </w:r>
          </w:p>
          <w:p w14:paraId="50185D26">
            <w:pPr>
              <w:tabs>
                <w:tab w:val="left" w:pos="8070"/>
              </w:tabs>
              <w:spacing w:line="360" w:lineRule="auto"/>
              <w:ind w:left="480" w:leftChars="0" w:firstLine="482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4</w:t>
            </w:r>
            <w:r>
              <w:rPr>
                <w:b/>
                <w:bCs/>
                <w:sz w:val="24"/>
              </w:rPr>
              <w:t>、</w:t>
            </w:r>
            <w:r>
              <w:rPr>
                <w:sz w:val="24"/>
              </w:rPr>
              <w:t>预期成果</w:t>
            </w:r>
          </w:p>
          <w:p w14:paraId="2BCBC02B">
            <w:pPr>
              <w:tabs>
                <w:tab w:val="left" w:pos="8070"/>
              </w:tabs>
              <w:spacing w:line="360" w:lineRule="auto"/>
              <w:ind w:left="480" w:leftChars="0" w:firstLine="480" w:firstLineChars="200"/>
              <w:rPr>
                <w:b/>
                <w:bCs/>
                <w:sz w:val="24"/>
              </w:rPr>
            </w:pPr>
            <w:r>
              <w:rPr>
                <w:sz w:val="24"/>
              </w:rPr>
              <w:t>输出方法框架与原型系统，形成可复现的实验脚本与评测报告；在代表性任务上给出定量与定性结论，归纳适用场景与限制，并撰写论文初稿与后续改进计划。</w:t>
            </w:r>
          </w:p>
        </w:tc>
      </w:tr>
      <w:tr w14:paraId="424A6F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8" w:hRule="atLeast"/>
        </w:trPr>
        <w:tc>
          <w:tcPr>
            <w:tcW w:w="9158" w:type="dxa"/>
            <w:tcBorders>
              <w:top w:val="single" w:color="auto" w:sz="12" w:space="0"/>
              <w:bottom w:val="single" w:color="auto" w:sz="12" w:space="0"/>
            </w:tcBorders>
          </w:tcPr>
          <w:p w14:paraId="08499803">
            <w:pPr>
              <w:autoSpaceDE w:val="0"/>
              <w:autoSpaceDN w:val="0"/>
              <w:adjustRightInd w:val="0"/>
              <w:spacing w:line="360" w:lineRule="auto"/>
              <w:rPr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四、论文（设计）框架结构</w:t>
            </w:r>
          </w:p>
          <w:p w14:paraId="710C5C85">
            <w:pPr>
              <w:autoSpaceDE w:val="0"/>
              <w:autoSpaceDN w:val="0"/>
              <w:adjustRightInd w:val="0"/>
              <w:spacing w:line="360" w:lineRule="auto"/>
              <w:ind w:firstLine="482" w:firstLineChars="200"/>
              <w:rPr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、</w:t>
            </w:r>
            <w:r>
              <w:rPr>
                <w:bCs/>
                <w:sz w:val="24"/>
              </w:rPr>
              <w:t>引言</w:t>
            </w:r>
          </w:p>
          <w:p w14:paraId="660EFF6E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bCs/>
                <w:sz w:val="24"/>
              </w:rPr>
            </w:pPr>
            <w:r>
              <w:rPr>
                <w:bCs/>
                <w:sz w:val="24"/>
              </w:rPr>
              <w:t>阐述研究背景与动机，提出研究问题与目标，概述方法路线与预期贡献，明确论文结构与阅读指引。</w:t>
            </w:r>
          </w:p>
          <w:p w14:paraId="0209D8F8">
            <w:pPr>
              <w:autoSpaceDE w:val="0"/>
              <w:autoSpaceDN w:val="0"/>
              <w:adjustRightInd w:val="0"/>
              <w:spacing w:line="360" w:lineRule="auto"/>
              <w:ind w:firstLine="482" w:firstLineChars="200"/>
              <w:rPr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</w:t>
            </w:r>
            <w:r>
              <w:rPr>
                <w:b/>
                <w:bCs/>
                <w:sz w:val="24"/>
              </w:rPr>
              <w:t>、</w:t>
            </w:r>
            <w:r>
              <w:rPr>
                <w:bCs/>
                <w:sz w:val="24"/>
              </w:rPr>
              <w:t>相关工作</w:t>
            </w:r>
          </w:p>
          <w:p w14:paraId="2E2F786B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bCs/>
                <w:sz w:val="24"/>
              </w:rPr>
            </w:pPr>
            <w:r>
              <w:rPr>
                <w:bCs/>
                <w:sz w:val="24"/>
              </w:rPr>
              <w:t>回顾预训练语言模型的发展与能力边界，总结LLM智能体的关键机制与评价方法，重点讨论ReAct、检索增强、记忆/反思与多步规划的进展与不足。</w:t>
            </w:r>
          </w:p>
          <w:p w14:paraId="61CB3914">
            <w:pPr>
              <w:autoSpaceDE w:val="0"/>
              <w:autoSpaceDN w:val="0"/>
              <w:adjustRightInd w:val="0"/>
              <w:spacing w:line="360" w:lineRule="auto"/>
              <w:ind w:firstLine="482" w:firstLineChars="200"/>
              <w:rPr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</w:t>
            </w:r>
            <w:r>
              <w:rPr>
                <w:b/>
                <w:bCs/>
                <w:sz w:val="24"/>
              </w:rPr>
              <w:t>、</w:t>
            </w:r>
            <w:r>
              <w:rPr>
                <w:bCs/>
                <w:sz w:val="24"/>
              </w:rPr>
              <w:t>方法</w:t>
            </w:r>
          </w:p>
          <w:p w14:paraId="2DD74361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bCs/>
                <w:sz w:val="24"/>
              </w:rPr>
            </w:pPr>
            <w:r>
              <w:rPr>
                <w:bCs/>
                <w:sz w:val="24"/>
              </w:rPr>
              <w:t>给出总体架构设计与模块划分，详细描述规划、检索、推理、行动、记忆与反思的协同流程，说明数据结构、接口定义与算法细节。</w:t>
            </w:r>
          </w:p>
          <w:p w14:paraId="0A8B8259">
            <w:pPr>
              <w:autoSpaceDE w:val="0"/>
              <w:autoSpaceDN w:val="0"/>
              <w:adjustRightInd w:val="0"/>
              <w:spacing w:line="360" w:lineRule="auto"/>
              <w:ind w:firstLine="482" w:firstLineChars="200"/>
              <w:rPr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4</w:t>
            </w:r>
            <w:r>
              <w:rPr>
                <w:b/>
                <w:bCs/>
                <w:sz w:val="24"/>
              </w:rPr>
              <w:t>、</w:t>
            </w:r>
            <w:r>
              <w:rPr>
                <w:bCs/>
                <w:sz w:val="24"/>
              </w:rPr>
              <w:t>实验</w:t>
            </w:r>
          </w:p>
          <w:p w14:paraId="0420B6B8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bCs/>
                <w:sz w:val="24"/>
              </w:rPr>
            </w:pPr>
            <w:r>
              <w:rPr>
                <w:bCs/>
                <w:sz w:val="24"/>
              </w:rPr>
              <w:t>介绍数据与任务设置、评测指标与实现细节，呈现主结果与消融分析，提供失败案例与可解释性分析，并讨论效率与鲁棒性权衡。</w:t>
            </w:r>
          </w:p>
          <w:p w14:paraId="240A8A74">
            <w:pPr>
              <w:autoSpaceDE w:val="0"/>
              <w:autoSpaceDN w:val="0"/>
              <w:adjustRightInd w:val="0"/>
              <w:spacing w:line="360" w:lineRule="auto"/>
              <w:ind w:firstLine="482" w:firstLineChars="200"/>
              <w:rPr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5</w:t>
            </w:r>
            <w:r>
              <w:rPr>
                <w:b/>
                <w:bCs/>
                <w:sz w:val="24"/>
              </w:rPr>
              <w:t>、</w:t>
            </w:r>
            <w:r>
              <w:rPr>
                <w:bCs/>
                <w:sz w:val="24"/>
              </w:rPr>
              <w:t>应用与案例</w:t>
            </w:r>
          </w:p>
          <w:p w14:paraId="2A14BC50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bCs/>
                <w:sz w:val="24"/>
              </w:rPr>
            </w:pPr>
            <w:r>
              <w:rPr>
                <w:bCs/>
                <w:sz w:val="24"/>
              </w:rPr>
              <w:t>展示在信息检索、任务分解、网页/API交互中的原型系统与典型用例，汇总工程实现要点与最佳实践。</w:t>
            </w:r>
          </w:p>
          <w:p w14:paraId="0A468C77">
            <w:pPr>
              <w:autoSpaceDE w:val="0"/>
              <w:autoSpaceDN w:val="0"/>
              <w:adjustRightInd w:val="0"/>
              <w:spacing w:line="360" w:lineRule="auto"/>
              <w:ind w:firstLine="482" w:firstLineChars="200"/>
              <w:rPr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6</w:t>
            </w:r>
            <w:r>
              <w:rPr>
                <w:b/>
                <w:bCs/>
                <w:sz w:val="24"/>
              </w:rPr>
              <w:t>、</w:t>
            </w:r>
            <w:r>
              <w:rPr>
                <w:bCs/>
                <w:sz w:val="24"/>
              </w:rPr>
              <w:t>讨论与展望</w:t>
            </w:r>
          </w:p>
          <w:p w14:paraId="459BADB4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bCs/>
                <w:sz w:val="24"/>
              </w:rPr>
            </w:pPr>
            <w:r>
              <w:rPr>
                <w:bCs/>
                <w:sz w:val="24"/>
              </w:rPr>
              <w:t>总结方法的适用边界与局限性，讨论安全与伦理问题，提出未来在多智能体协作、长期记忆、对齐与强化学习方面的研究方向。</w:t>
            </w:r>
          </w:p>
          <w:p w14:paraId="17BA4722">
            <w:pPr>
              <w:autoSpaceDE w:val="0"/>
              <w:autoSpaceDN w:val="0"/>
              <w:adjustRightInd w:val="0"/>
              <w:spacing w:line="360" w:lineRule="auto"/>
              <w:ind w:firstLine="482" w:firstLineChars="200"/>
              <w:rPr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7</w:t>
            </w:r>
            <w:r>
              <w:rPr>
                <w:b/>
                <w:bCs/>
                <w:sz w:val="24"/>
              </w:rPr>
              <w:t>、</w:t>
            </w:r>
            <w:r>
              <w:rPr>
                <w:bCs/>
                <w:sz w:val="24"/>
              </w:rPr>
              <w:t>结论</w:t>
            </w:r>
          </w:p>
          <w:p w14:paraId="3B7CEADA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rPr>
                <w:bCs/>
                <w:sz w:val="24"/>
              </w:rPr>
            </w:pPr>
            <w:r>
              <w:rPr>
                <w:bCs/>
                <w:sz w:val="24"/>
              </w:rPr>
              <w:t>归纳主要发现与贡献，回顾研究价值与可能影响。</w:t>
            </w:r>
          </w:p>
        </w:tc>
      </w:tr>
    </w:tbl>
    <w:p w14:paraId="1B698CAF">
      <w:pPr>
        <w:rPr>
          <w:rFonts w:ascii="楷体_GB2312" w:eastAsia="楷体_GB2312"/>
          <w:sz w:val="18"/>
          <w:szCs w:val="18"/>
        </w:rPr>
      </w:pPr>
      <w:r>
        <w:rPr>
          <w:rFonts w:hint="eastAsia" w:ascii="楷体_GB2312" w:eastAsia="楷体_GB2312"/>
          <w:sz w:val="18"/>
          <w:szCs w:val="18"/>
        </w:rPr>
        <w:t>若所填内容超出此页可另加页，页码顺延。</w:t>
      </w:r>
    </w:p>
    <w:p w14:paraId="427C17AD"/>
    <w:tbl>
      <w:tblPr>
        <w:tblStyle w:val="6"/>
        <w:tblpPr w:leftFromText="180" w:rightFromText="180" w:vertAnchor="text" w:horzAnchor="page" w:tblpX="1545" w:tblpY="19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0"/>
      </w:tblGrid>
      <w:tr w14:paraId="374D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7" w:hRule="atLeast"/>
        </w:trPr>
        <w:tc>
          <w:tcPr>
            <w:tcW w:w="9300" w:type="dxa"/>
            <w:tcBorders>
              <w:top w:val="single" w:color="auto" w:sz="12" w:space="0"/>
              <w:bottom w:val="single" w:color="auto" w:sz="12" w:space="0"/>
            </w:tcBorders>
          </w:tcPr>
          <w:p w14:paraId="636B7136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五、写作安排（包含相似性检查的时间安排）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67"/>
              <w:gridCol w:w="5721"/>
              <w:gridCol w:w="2586"/>
            </w:tblGrid>
            <w:tr w14:paraId="3EDFDE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386BE6CC">
                  <w:pPr>
                    <w:spacing w:line="400" w:lineRule="exact"/>
                    <w:jc w:val="center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序号</w:t>
                  </w:r>
                </w:p>
              </w:tc>
              <w:tc>
                <w:tcPr>
                  <w:tcW w:w="5721" w:type="dxa"/>
                </w:tcPr>
                <w:p w14:paraId="3D083627">
                  <w:pPr>
                    <w:spacing w:line="400" w:lineRule="exact"/>
                    <w:jc w:val="center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设计（论文）写作的阶段性</w:t>
                  </w:r>
                  <w:r>
                    <w:rPr>
                      <w:b/>
                      <w:bCs/>
                      <w:sz w:val="24"/>
                    </w:rPr>
                    <w:t>任务</w:t>
                  </w:r>
                </w:p>
              </w:tc>
              <w:tc>
                <w:tcPr>
                  <w:tcW w:w="2586" w:type="dxa"/>
                </w:tcPr>
                <w:p w14:paraId="0103628B">
                  <w:pPr>
                    <w:spacing w:line="400" w:lineRule="exact"/>
                    <w:jc w:val="center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时间</w:t>
                  </w:r>
                  <w:r>
                    <w:rPr>
                      <w:b/>
                      <w:bCs/>
                      <w:sz w:val="24"/>
                    </w:rPr>
                    <w:t>安排</w:t>
                  </w:r>
                </w:p>
              </w:tc>
            </w:tr>
            <w:tr w14:paraId="5AE124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34992326">
                  <w:pPr>
                    <w:spacing w:line="400" w:lineRule="exact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</w:t>
                  </w:r>
                </w:p>
              </w:tc>
              <w:tc>
                <w:tcPr>
                  <w:tcW w:w="5721" w:type="dxa"/>
                </w:tcPr>
                <w:p w14:paraId="16F84741">
                  <w:pPr>
                    <w:spacing w:line="400" w:lineRule="exact"/>
                    <w:jc w:val="center"/>
                    <w:rPr>
                      <w:b/>
                      <w:bCs/>
                      <w:sz w:val="24"/>
                    </w:rPr>
                  </w:pPr>
                  <w:r>
                    <w:rPr>
                      <w:sz w:val="24"/>
                    </w:rPr>
                    <w:t>查找相关资料，并确定选题</w:t>
                  </w:r>
                </w:p>
              </w:tc>
              <w:tc>
                <w:tcPr>
                  <w:tcW w:w="2586" w:type="dxa"/>
                </w:tcPr>
                <w:p w14:paraId="746147E5">
                  <w:pPr>
                    <w:spacing w:line="400" w:lineRule="exact"/>
                    <w:jc w:val="center"/>
                    <w:rPr>
                      <w:b/>
                      <w:bCs/>
                      <w:sz w:val="24"/>
                    </w:rPr>
                  </w:pPr>
                  <w:r>
                    <w:rPr>
                      <w:sz w:val="24"/>
                    </w:rPr>
                    <w:t>2025.11.20~2025.11.30</w:t>
                  </w:r>
                </w:p>
              </w:tc>
            </w:tr>
            <w:tr w14:paraId="0135B9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43B0A4E5">
                  <w:pPr>
                    <w:spacing w:line="400" w:lineRule="exact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</w:t>
                  </w:r>
                </w:p>
              </w:tc>
              <w:tc>
                <w:tcPr>
                  <w:tcW w:w="5721" w:type="dxa"/>
                </w:tcPr>
                <w:p w14:paraId="26D2F615">
                  <w:pPr>
                    <w:spacing w:line="400" w:lineRule="exact"/>
                    <w:jc w:val="center"/>
                    <w:rPr>
                      <w:b/>
                      <w:bCs/>
                      <w:sz w:val="24"/>
                    </w:rPr>
                  </w:pPr>
                  <w:r>
                    <w:rPr>
                      <w:color w:val="0F1115"/>
                      <w:sz w:val="24"/>
                      <w:shd w:val="clear" w:color="auto" w:fill="FFFFFF"/>
                    </w:rPr>
                    <w:t>需求分析与架构设计</w:t>
                  </w:r>
                </w:p>
              </w:tc>
              <w:tc>
                <w:tcPr>
                  <w:tcW w:w="2586" w:type="dxa"/>
                </w:tcPr>
                <w:p w14:paraId="59440788">
                  <w:pPr>
                    <w:spacing w:line="400" w:lineRule="exact"/>
                    <w:jc w:val="center"/>
                    <w:rPr>
                      <w:b/>
                      <w:bCs/>
                      <w:sz w:val="24"/>
                    </w:rPr>
                  </w:pPr>
                  <w:r>
                    <w:rPr>
                      <w:sz w:val="24"/>
                    </w:rPr>
                    <w:t>2025.12.1~2025.12.13</w:t>
                  </w:r>
                </w:p>
              </w:tc>
            </w:tr>
            <w:tr w14:paraId="103716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2353B16F">
                  <w:pPr>
                    <w:spacing w:line="400" w:lineRule="exact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3</w:t>
                  </w:r>
                </w:p>
              </w:tc>
              <w:tc>
                <w:tcPr>
                  <w:tcW w:w="5721" w:type="dxa"/>
                </w:tcPr>
                <w:p w14:paraId="51B2702D">
                  <w:pPr>
                    <w:spacing w:line="400" w:lineRule="exact"/>
                    <w:jc w:val="center"/>
                    <w:rPr>
                      <w:color w:val="0F1115"/>
                      <w:sz w:val="24"/>
                      <w:shd w:val="clear" w:color="auto" w:fill="FFFFFF"/>
                    </w:rPr>
                  </w:pPr>
                  <w:r>
                    <w:rPr>
                      <w:color w:val="0F1115"/>
                      <w:sz w:val="24"/>
                      <w:shd w:val="clear" w:color="auto" w:fill="FFFFFF"/>
                    </w:rPr>
                    <w:t>原型设计与基础环境搭建</w:t>
                  </w:r>
                </w:p>
              </w:tc>
              <w:tc>
                <w:tcPr>
                  <w:tcW w:w="2586" w:type="dxa"/>
                </w:tcPr>
                <w:p w14:paraId="7185E2BA">
                  <w:pPr>
                    <w:spacing w:line="400" w:lineRule="exact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2025.12.14~2025.12.26</w:t>
                  </w:r>
                </w:p>
              </w:tc>
            </w:tr>
            <w:tr w14:paraId="751A3E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4EAB382F">
                  <w:pPr>
                    <w:spacing w:line="400" w:lineRule="exact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4</w:t>
                  </w:r>
                </w:p>
              </w:tc>
              <w:tc>
                <w:tcPr>
                  <w:tcW w:w="5721" w:type="dxa"/>
                </w:tcPr>
                <w:p w14:paraId="36483434">
                  <w:pPr>
                    <w:spacing w:line="400" w:lineRule="exact"/>
                    <w:jc w:val="center"/>
                    <w:rPr>
                      <w:color w:val="0F1115"/>
                      <w:sz w:val="24"/>
                      <w:shd w:val="clear" w:color="auto" w:fill="FFFFFF"/>
                    </w:rPr>
                  </w:pPr>
                  <w:r>
                    <w:rPr>
                      <w:color w:val="0F1115"/>
                      <w:sz w:val="24"/>
                      <w:shd w:val="clear" w:color="auto" w:fill="FFFFFF"/>
                    </w:rPr>
                    <w:t>基础框架与数据模型实现</w:t>
                  </w:r>
                </w:p>
              </w:tc>
              <w:tc>
                <w:tcPr>
                  <w:tcW w:w="2586" w:type="dxa"/>
                </w:tcPr>
                <w:p w14:paraId="6A4281F9">
                  <w:pPr>
                    <w:spacing w:line="400" w:lineRule="exact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2025.12.27~2026.1.10</w:t>
                  </w:r>
                </w:p>
              </w:tc>
            </w:tr>
            <w:tr w14:paraId="1FC087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68551267">
                  <w:pPr>
                    <w:spacing w:line="400" w:lineRule="exact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5</w:t>
                  </w:r>
                </w:p>
              </w:tc>
              <w:tc>
                <w:tcPr>
                  <w:tcW w:w="5721" w:type="dxa"/>
                </w:tcPr>
                <w:p w14:paraId="54E67C8F">
                  <w:pPr>
                    <w:spacing w:line="400" w:lineRule="exact"/>
                    <w:jc w:val="center"/>
                    <w:rPr>
                      <w:color w:val="0F1115"/>
                      <w:sz w:val="24"/>
                      <w:shd w:val="clear" w:color="auto" w:fill="FFFFFF"/>
                    </w:rPr>
                  </w:pPr>
                  <w:r>
                    <w:rPr>
                      <w:sz w:val="24"/>
                    </w:rPr>
                    <w:t>LangChain核心集成与工作流引擎开发（</w:t>
                  </w:r>
                  <w:r>
                    <w:rPr>
                      <w:color w:val="000000"/>
                      <w:sz w:val="24"/>
                      <w:szCs w:val="22"/>
                    </w:rPr>
                    <w:t>2026年1月13日前完成开题报告</w:t>
                  </w:r>
                  <w:r>
                    <w:rPr>
                      <w:sz w:val="24"/>
                    </w:rPr>
                    <w:t>）</w:t>
                  </w:r>
                </w:p>
              </w:tc>
              <w:tc>
                <w:tcPr>
                  <w:tcW w:w="2586" w:type="dxa"/>
                </w:tcPr>
                <w:p w14:paraId="744CDD31">
                  <w:pPr>
                    <w:spacing w:line="400" w:lineRule="exact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2026.1.11~2026.1.23</w:t>
                  </w:r>
                </w:p>
              </w:tc>
            </w:tr>
            <w:tr w14:paraId="4E4BC4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3889F8AB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6</w:t>
                  </w:r>
                </w:p>
              </w:tc>
              <w:tc>
                <w:tcPr>
                  <w:tcW w:w="5721" w:type="dxa"/>
                </w:tcPr>
                <w:p w14:paraId="56938687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rFonts w:hint="eastAsia" w:cs="微软雅黑"/>
                      <w:color w:val="0F1115"/>
                      <w:sz w:val="24"/>
                      <w:shd w:val="clear" w:color="auto" w:fill="FFFFFF"/>
                    </w:rPr>
                    <w:t>工具管理模块开发</w:t>
                  </w:r>
                  <w:r>
                    <w:rPr>
                      <w:color w:val="0F1115"/>
                      <w:sz w:val="24"/>
                      <w:shd w:val="clear" w:color="auto" w:fill="FFFFFF"/>
                    </w:rPr>
                    <w:t>，</w:t>
                  </w:r>
                  <w:r>
                    <w:rPr>
                      <w:rFonts w:hint="eastAsia" w:cs="微软雅黑"/>
                      <w:color w:val="0F1115"/>
                      <w:sz w:val="24"/>
                      <w:shd w:val="clear" w:color="auto" w:fill="FFFFFF"/>
                    </w:rPr>
                    <w:t>记忆管理模块与测试框架开发</w:t>
                  </w:r>
                </w:p>
              </w:tc>
              <w:tc>
                <w:tcPr>
                  <w:tcW w:w="2586" w:type="dxa"/>
                </w:tcPr>
                <w:p w14:paraId="4089B14B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sz w:val="24"/>
                    </w:rPr>
                    <w:t>2026.1.24~2026.3.5</w:t>
                  </w:r>
                </w:p>
              </w:tc>
            </w:tr>
            <w:tr w14:paraId="64920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11A1D5E9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7</w:t>
                  </w:r>
                </w:p>
              </w:tc>
              <w:tc>
                <w:tcPr>
                  <w:tcW w:w="5721" w:type="dxa"/>
                </w:tcPr>
                <w:p w14:paraId="10396907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color w:val="0F1115"/>
                      <w:sz w:val="24"/>
                      <w:shd w:val="clear" w:color="auto" w:fill="FFFFFF"/>
                    </w:rPr>
                    <w:t>API</w:t>
                  </w:r>
                  <w:r>
                    <w:rPr>
                      <w:rFonts w:hint="eastAsia" w:cs="微软雅黑"/>
                      <w:color w:val="0F1115"/>
                      <w:sz w:val="24"/>
                      <w:shd w:val="clear" w:color="auto" w:fill="FFFFFF"/>
                    </w:rPr>
                    <w:t>整合与后端联调</w:t>
                  </w:r>
                  <w:r>
                    <w:rPr>
                      <w:color w:val="0F1115"/>
                      <w:sz w:val="24"/>
                      <w:shd w:val="clear" w:color="auto" w:fill="FFFFFF"/>
                    </w:rPr>
                    <w:t>，</w:t>
                  </w:r>
                  <w:r>
                    <w:rPr>
                      <w:color w:val="000000"/>
                      <w:sz w:val="24"/>
                    </w:rPr>
                    <w:t>撰写论文</w:t>
                  </w:r>
                </w:p>
              </w:tc>
              <w:tc>
                <w:tcPr>
                  <w:tcW w:w="2586" w:type="dxa"/>
                </w:tcPr>
                <w:p w14:paraId="7A782B04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sz w:val="24"/>
                    </w:rPr>
                    <w:t>2026.3.6~2026.3.16</w:t>
                  </w:r>
                </w:p>
              </w:tc>
            </w:tr>
            <w:tr w14:paraId="747B7D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251CB684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8</w:t>
                  </w:r>
                </w:p>
              </w:tc>
              <w:tc>
                <w:tcPr>
                  <w:tcW w:w="5721" w:type="dxa"/>
                </w:tcPr>
                <w:p w14:paraId="71A07253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rFonts w:hint="eastAsia" w:cs="微软雅黑"/>
                      <w:color w:val="0F1115"/>
                      <w:sz w:val="24"/>
                      <w:shd w:val="clear" w:color="auto" w:fill="FFFFFF"/>
                    </w:rPr>
                    <w:t>前端基础架构与核心组件开发</w:t>
                  </w:r>
                  <w:r>
                    <w:rPr>
                      <w:color w:val="0F1115"/>
                      <w:sz w:val="24"/>
                      <w:shd w:val="clear" w:color="auto" w:fill="FFFFFF"/>
                    </w:rPr>
                    <w:t>。</w:t>
                  </w:r>
                  <w:r>
                    <w:rPr>
                      <w:sz w:val="24"/>
                    </w:rPr>
                    <w:t>第一次论文检测（论文检测在</w:t>
                  </w:r>
                  <w:r>
                    <w:rPr>
                      <w:color w:val="000000"/>
                      <w:sz w:val="24"/>
                      <w:szCs w:val="22"/>
                    </w:rPr>
                    <w:t>2026年3月17日</w:t>
                  </w:r>
                  <w:r>
                    <w:rPr>
                      <w:sz w:val="24"/>
                    </w:rPr>
                    <w:t>前后开通）</w:t>
                  </w:r>
                </w:p>
              </w:tc>
              <w:tc>
                <w:tcPr>
                  <w:tcW w:w="2586" w:type="dxa"/>
                </w:tcPr>
                <w:p w14:paraId="56B06105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sz w:val="24"/>
                    </w:rPr>
                    <w:t>2026.3.17~2026.3.29</w:t>
                  </w:r>
                </w:p>
              </w:tc>
            </w:tr>
            <w:tr w14:paraId="749A3C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60271DE2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9</w:t>
                  </w:r>
                </w:p>
              </w:tc>
              <w:tc>
                <w:tcPr>
                  <w:tcW w:w="5721" w:type="dxa"/>
                </w:tcPr>
                <w:p w14:paraId="2C2B5144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论文初稿撰写</w:t>
                  </w:r>
                </w:p>
              </w:tc>
              <w:tc>
                <w:tcPr>
                  <w:tcW w:w="2586" w:type="dxa"/>
                </w:tcPr>
                <w:p w14:paraId="646D4235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2026-04-01</w:t>
                  </w:r>
                  <w:r>
                    <w:rPr>
                      <w:sz w:val="24"/>
                    </w:rPr>
                    <w:t>~</w:t>
                  </w:r>
                  <w:r>
                    <w:rPr>
                      <w:bCs/>
                      <w:sz w:val="24"/>
                    </w:rPr>
                    <w:t>2026-04-20</w:t>
                  </w:r>
                </w:p>
              </w:tc>
            </w:tr>
            <w:tr w14:paraId="6FB1C8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0B75EA0E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10</w:t>
                  </w:r>
                </w:p>
              </w:tc>
              <w:tc>
                <w:tcPr>
                  <w:tcW w:w="5721" w:type="dxa"/>
                  <w:vAlign w:val="center"/>
                </w:tcPr>
                <w:p w14:paraId="2D0550C5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rFonts w:hint="eastAsia" w:cs="微软雅黑"/>
                      <w:color w:val="0F1115"/>
                      <w:sz w:val="24"/>
                      <w:shd w:val="clear" w:color="auto" w:fill="FFFFFF"/>
                    </w:rPr>
                    <w:t>平台功能界面开发</w:t>
                  </w:r>
                  <w:r>
                    <w:rPr>
                      <w:color w:val="0F1115"/>
                      <w:sz w:val="24"/>
                      <w:shd w:val="clear" w:color="auto" w:fill="FFFFFF"/>
                    </w:rPr>
                    <w:t>，</w:t>
                  </w:r>
                  <w:r>
                    <w:rPr>
                      <w:rFonts w:hint="eastAsia" w:cs="微软雅黑"/>
                      <w:color w:val="0F1115"/>
                      <w:sz w:val="24"/>
                      <w:shd w:val="clear" w:color="auto" w:fill="FFFFFF"/>
                    </w:rPr>
                    <w:t>前后端集成与优化</w:t>
                  </w:r>
                  <w:r>
                    <w:rPr>
                      <w:color w:val="000000"/>
                      <w:sz w:val="24"/>
                    </w:rPr>
                    <w:t>，修改论文</w:t>
                  </w:r>
                </w:p>
              </w:tc>
              <w:tc>
                <w:tcPr>
                  <w:tcW w:w="2586" w:type="dxa"/>
                </w:tcPr>
                <w:p w14:paraId="5F26E733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sz w:val="24"/>
                    </w:rPr>
                    <w:t>2026.3.30~2026.4.14</w:t>
                  </w:r>
                </w:p>
              </w:tc>
            </w:tr>
            <w:tr w14:paraId="77BC89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57EFEABF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11</w:t>
                  </w:r>
                </w:p>
              </w:tc>
              <w:tc>
                <w:tcPr>
                  <w:tcW w:w="5721" w:type="dxa"/>
                </w:tcPr>
                <w:p w14:paraId="2D4A7E53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rFonts w:hint="eastAsia" w:cs="微软雅黑"/>
                      <w:color w:val="0F1115"/>
                      <w:sz w:val="24"/>
                      <w:shd w:val="clear" w:color="auto" w:fill="FFFFFF"/>
                    </w:rPr>
                    <w:t>系统测试与性能优化。</w:t>
                  </w:r>
                  <w:r>
                    <w:rPr>
                      <w:sz w:val="24"/>
                    </w:rPr>
                    <w:t>第二次论文检测（</w:t>
                  </w:r>
                  <w:r>
                    <w:rPr>
                      <w:color w:val="000000"/>
                      <w:sz w:val="24"/>
                      <w:szCs w:val="22"/>
                    </w:rPr>
                    <w:t>2026年4月28日前需完成全部检测</w:t>
                  </w:r>
                  <w:r>
                    <w:rPr>
                      <w:sz w:val="24"/>
                    </w:rPr>
                    <w:t>）</w:t>
                  </w:r>
                </w:p>
              </w:tc>
              <w:tc>
                <w:tcPr>
                  <w:tcW w:w="2586" w:type="dxa"/>
                </w:tcPr>
                <w:p w14:paraId="5819B97E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sz w:val="24"/>
                    </w:rPr>
                    <w:t>2026.4.15~2026.4.28</w:t>
                  </w:r>
                </w:p>
              </w:tc>
            </w:tr>
            <w:tr w14:paraId="484EE2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32447202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12</w:t>
                  </w:r>
                </w:p>
              </w:tc>
              <w:tc>
                <w:tcPr>
                  <w:tcW w:w="5721" w:type="dxa"/>
                </w:tcPr>
                <w:p w14:paraId="3D9F5223">
                  <w:pPr>
                    <w:spacing w:line="400" w:lineRule="exact"/>
                    <w:rPr>
                      <w:rFonts w:cs="微软雅黑"/>
                      <w:color w:val="0F1115"/>
                      <w:sz w:val="24"/>
                      <w:shd w:val="clear" w:color="auto" w:fill="FFFFFF"/>
                    </w:rPr>
                  </w:pPr>
                  <w:r>
                    <w:rPr>
                      <w:sz w:val="24"/>
                    </w:rPr>
                    <w:t>总结毕业设计，论文盲审</w:t>
                  </w:r>
                </w:p>
              </w:tc>
              <w:tc>
                <w:tcPr>
                  <w:tcW w:w="2586" w:type="dxa"/>
                </w:tcPr>
                <w:p w14:paraId="4ADE13EF">
                  <w:pPr>
                    <w:spacing w:line="400" w:lineRule="exact"/>
                    <w:rPr>
                      <w:sz w:val="24"/>
                    </w:rPr>
                  </w:pPr>
                  <w:r>
                    <w:rPr>
                      <w:sz w:val="24"/>
                    </w:rPr>
                    <w:t>2026.4.29~2026.5.8</w:t>
                  </w:r>
                </w:p>
              </w:tc>
            </w:tr>
            <w:tr w14:paraId="122B22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767" w:type="dxa"/>
                </w:tcPr>
                <w:p w14:paraId="478E54EB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13</w:t>
                  </w:r>
                </w:p>
              </w:tc>
              <w:tc>
                <w:tcPr>
                  <w:tcW w:w="5721" w:type="dxa"/>
                </w:tcPr>
                <w:p w14:paraId="037A7DC6">
                  <w:pPr>
                    <w:spacing w:line="400" w:lineRule="exact"/>
                    <w:rPr>
                      <w:rFonts w:cs="微软雅黑"/>
                      <w:color w:val="0F1115"/>
                      <w:sz w:val="24"/>
                      <w:shd w:val="clear" w:color="auto" w:fill="FFFFFF"/>
                    </w:rPr>
                  </w:pPr>
                  <w:r>
                    <w:rPr>
                      <w:color w:val="000000"/>
                      <w:sz w:val="24"/>
                    </w:rPr>
                    <w:t>根据论文评阅意见总结并再次修改论文，</w:t>
                  </w:r>
                  <w:r>
                    <w:rPr>
                      <w:sz w:val="24"/>
                    </w:rPr>
                    <w:t>毕业设计答辩</w:t>
                  </w:r>
                </w:p>
              </w:tc>
              <w:tc>
                <w:tcPr>
                  <w:tcW w:w="2586" w:type="dxa"/>
                </w:tcPr>
                <w:p w14:paraId="15FF8231">
                  <w:pPr>
                    <w:spacing w:line="400" w:lineRule="exact"/>
                    <w:rPr>
                      <w:sz w:val="24"/>
                    </w:rPr>
                  </w:pPr>
                  <w:r>
                    <w:rPr>
                      <w:sz w:val="24"/>
                    </w:rPr>
                    <w:t>2026.5.9~2026.5.21</w:t>
                  </w:r>
                </w:p>
              </w:tc>
            </w:tr>
          </w:tbl>
          <w:p w14:paraId="5D58E06A">
            <w:pPr>
              <w:rPr>
                <w:sz w:val="18"/>
                <w:szCs w:val="18"/>
              </w:rPr>
            </w:pPr>
          </w:p>
        </w:tc>
      </w:tr>
      <w:tr w14:paraId="5A261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0" w:hRule="atLeast"/>
        </w:trPr>
        <w:tc>
          <w:tcPr>
            <w:tcW w:w="9300" w:type="dxa"/>
            <w:tcBorders>
              <w:top w:val="single" w:color="auto" w:sz="12" w:space="0"/>
              <w:bottom w:val="single" w:color="auto" w:sz="12" w:space="0"/>
            </w:tcBorders>
          </w:tcPr>
          <w:p w14:paraId="5090D686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六、参考文献</w:t>
            </w:r>
          </w:p>
          <w:p w14:paraId="1EB52A3B">
            <w:pPr>
              <w:spacing w:line="360" w:lineRule="auto"/>
              <w:ind w:firstLine="480" w:firstLineChars="20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[1] LangChain Documentation. LangChain Official Docs[EB/OL]. </w:t>
            </w:r>
          </w:p>
          <w:p w14:paraId="1799629F">
            <w:pPr>
              <w:spacing w:line="360" w:lineRule="auto"/>
              <w:ind w:firstLine="480" w:firstLineChars="20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https://python.langchain.com/, 2023. </w:t>
            </w:r>
          </w:p>
          <w:p w14:paraId="77C22AD5">
            <w:pPr>
              <w:spacing w:line="360" w:lineRule="auto"/>
              <w:ind w:firstLine="480" w:firstLineChars="200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[</w:t>
            </w:r>
            <w:r>
              <w:rPr>
                <w:rFonts w:hint="eastAsia"/>
                <w:color w:val="000000"/>
                <w:sz w:val="24"/>
                <w:szCs w:val="22"/>
              </w:rPr>
              <w:t>2</w:t>
            </w:r>
            <w:r>
              <w:rPr>
                <w:color w:val="000000"/>
                <w:sz w:val="24"/>
                <w:szCs w:val="22"/>
              </w:rPr>
              <w:t>]</w:t>
            </w:r>
            <w:r>
              <w:rPr>
                <w:rFonts w:hint="eastAsia"/>
                <w:color w:val="000000"/>
                <w:sz w:val="24"/>
                <w:szCs w:val="22"/>
              </w:rPr>
              <w:t xml:space="preserve"> Yao, S., et al. ReAct: Synergizing Reasoning and Acting in Language Models[J]. arXiv preprint arXiv:2210.03629, 2022. </w:t>
            </w:r>
          </w:p>
          <w:p w14:paraId="57D783BB">
            <w:pPr>
              <w:spacing w:line="360" w:lineRule="auto"/>
              <w:ind w:firstLine="480" w:firstLineChars="200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[</w:t>
            </w:r>
            <w:r>
              <w:rPr>
                <w:rFonts w:hint="eastAsia"/>
                <w:color w:val="000000"/>
                <w:sz w:val="24"/>
                <w:szCs w:val="22"/>
              </w:rPr>
              <w:t>3</w:t>
            </w:r>
            <w:r>
              <w:rPr>
                <w:color w:val="000000"/>
                <w:sz w:val="24"/>
                <w:szCs w:val="22"/>
              </w:rPr>
              <w:t>]</w:t>
            </w:r>
            <w:r>
              <w:rPr>
                <w:rFonts w:hint="eastAsia"/>
                <w:color w:val="000000"/>
                <w:sz w:val="24"/>
                <w:szCs w:val="22"/>
              </w:rPr>
              <w:t xml:space="preserve"> Wu, T., et al. AutoGen: Enabling Next-Gen LLM Applications via Multi-Agent Conversation[J]. arXiv preprint arXiv:2308.08155, 2023.</w:t>
            </w:r>
          </w:p>
          <w:p w14:paraId="05117641">
            <w:pPr>
              <w:spacing w:line="360" w:lineRule="auto"/>
              <w:ind w:firstLine="480" w:firstLineChars="200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[</w:t>
            </w:r>
            <w:r>
              <w:rPr>
                <w:rFonts w:hint="eastAsia"/>
                <w:color w:val="000000"/>
                <w:sz w:val="24"/>
                <w:szCs w:val="22"/>
              </w:rPr>
              <w:t>4</w:t>
            </w:r>
            <w:r>
              <w:rPr>
                <w:color w:val="000000"/>
                <w:sz w:val="24"/>
                <w:szCs w:val="22"/>
              </w:rPr>
              <w:t xml:space="preserve">] Liu, Y., et al. Pre-Trained Language Models and Their Applications[J]. Foundations and Trends® in Machine Learning, 2023.  </w:t>
            </w:r>
          </w:p>
          <w:p w14:paraId="69247330">
            <w:pPr>
              <w:spacing w:line="360" w:lineRule="auto"/>
              <w:ind w:firstLine="480" w:firstLineChars="200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[</w:t>
            </w:r>
            <w:r>
              <w:rPr>
                <w:rFonts w:hint="eastAsia"/>
                <w:color w:val="000000"/>
                <w:sz w:val="24"/>
                <w:szCs w:val="22"/>
              </w:rPr>
              <w:t>5</w:t>
            </w:r>
            <w:r>
              <w:rPr>
                <w:color w:val="000000"/>
                <w:sz w:val="24"/>
                <w:szCs w:val="22"/>
              </w:rPr>
              <w:t xml:space="preserve">] </w:t>
            </w:r>
            <w:r>
              <w:rPr>
                <w:rFonts w:hint="eastAsia"/>
                <w:color w:val="000000"/>
                <w:sz w:val="24"/>
                <w:szCs w:val="22"/>
              </w:rPr>
              <w:t>Lei WANG, Chen MA, Xueyang FENG, et al. A survey on large language model based autonomous agents</w:t>
            </w:r>
            <w:r>
              <w:rPr>
                <w:color w:val="000000"/>
                <w:sz w:val="24"/>
                <w:szCs w:val="22"/>
              </w:rPr>
              <w:t>,</w:t>
            </w:r>
            <w:r>
              <w:rPr>
                <w:rFonts w:hint="eastAsia"/>
                <w:color w:val="000000"/>
                <w:sz w:val="24"/>
                <w:szCs w:val="22"/>
              </w:rPr>
              <w:t xml:space="preserve"> 2024.</w:t>
            </w:r>
          </w:p>
          <w:p w14:paraId="17CCF6D8">
            <w:pPr>
              <w:spacing w:line="360" w:lineRule="auto"/>
              <w:ind w:firstLine="480" w:firstLineChars="200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[</w:t>
            </w:r>
            <w:r>
              <w:rPr>
                <w:rFonts w:hint="eastAsia"/>
                <w:color w:val="000000"/>
                <w:sz w:val="24"/>
                <w:szCs w:val="22"/>
              </w:rPr>
              <w:t>6</w:t>
            </w:r>
            <w:r>
              <w:rPr>
                <w:color w:val="000000"/>
                <w:sz w:val="24"/>
                <w:szCs w:val="22"/>
              </w:rPr>
              <w:t xml:space="preserve">] 肖涵. FastAPI Web开发实战[M]. 电子工业出版社, 2022. </w:t>
            </w:r>
          </w:p>
          <w:p w14:paraId="6D7EBE81">
            <w:pPr>
              <w:spacing w:line="360" w:lineRule="auto"/>
              <w:ind w:firstLine="480" w:firstLineChars="200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[</w:t>
            </w:r>
            <w:r>
              <w:rPr>
                <w:rFonts w:hint="eastAsia"/>
                <w:color w:val="000000"/>
                <w:sz w:val="24"/>
                <w:szCs w:val="22"/>
              </w:rPr>
              <w:t>7</w:t>
            </w:r>
            <w:r>
              <w:rPr>
                <w:color w:val="000000"/>
                <w:sz w:val="24"/>
                <w:szCs w:val="22"/>
              </w:rPr>
              <w:t xml:space="preserve">] 程墨. React设计模式与最佳实践[M]. 人民邮电出版社, 2021. </w:t>
            </w:r>
          </w:p>
          <w:p w14:paraId="33F1112B">
            <w:pPr>
              <w:spacing w:line="360" w:lineRule="auto"/>
              <w:ind w:firstLine="480" w:firstLineChars="200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[</w:t>
            </w:r>
            <w:r>
              <w:rPr>
                <w:rFonts w:hint="eastAsia"/>
                <w:color w:val="000000"/>
                <w:sz w:val="24"/>
                <w:szCs w:val="22"/>
              </w:rPr>
              <w:t>8</w:t>
            </w:r>
            <w:r>
              <w:rPr>
                <w:color w:val="000000"/>
                <w:sz w:val="24"/>
                <w:szCs w:val="22"/>
              </w:rPr>
              <w:t>] Fielding, R. T. Architectural Styles and the Design of Network-based Software Architectures[D]. University of California, Irvine, 2000.</w:t>
            </w:r>
          </w:p>
          <w:p w14:paraId="2AB37C21">
            <w:pPr>
              <w:spacing w:line="360" w:lineRule="auto"/>
              <w:ind w:firstLine="480" w:firstLineChars="200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[</w:t>
            </w:r>
            <w:r>
              <w:rPr>
                <w:rFonts w:hint="eastAsia"/>
                <w:color w:val="000000"/>
                <w:sz w:val="24"/>
                <w:szCs w:val="22"/>
              </w:rPr>
              <w:t>9</w:t>
            </w:r>
            <w:r>
              <w:rPr>
                <w:color w:val="000000"/>
                <w:sz w:val="24"/>
                <w:szCs w:val="22"/>
              </w:rPr>
              <w:t>]</w:t>
            </w:r>
            <w:r>
              <w:rPr>
                <w:rFonts w:hint="eastAsia"/>
                <w:color w:val="000000"/>
                <w:sz w:val="24"/>
                <w:szCs w:val="22"/>
              </w:rPr>
              <w:t xml:space="preserve"> 阿里巴巴技术团队. 云原生架构白皮书[R]. 2023.</w:t>
            </w:r>
            <w:r>
              <w:rPr>
                <w:color w:val="000000"/>
                <w:sz w:val="24"/>
                <w:szCs w:val="22"/>
              </w:rPr>
              <w:t xml:space="preserve"> </w:t>
            </w:r>
          </w:p>
          <w:p w14:paraId="401CAFBA">
            <w:pPr>
              <w:widowControl/>
              <w:tabs>
                <w:tab w:val="left" w:pos="1080"/>
                <w:tab w:val="left" w:pos="1260"/>
              </w:tabs>
              <w:spacing w:line="400" w:lineRule="exact"/>
              <w:ind w:firstLine="480" w:firstLineChars="200"/>
              <w:textAlignment w:val="baseline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szCs w:val="22"/>
              </w:rPr>
              <w:t>[1</w:t>
            </w:r>
            <w:r>
              <w:rPr>
                <w:rFonts w:hint="eastAsia"/>
                <w:color w:val="000000"/>
                <w:sz w:val="24"/>
                <w:szCs w:val="22"/>
              </w:rPr>
              <w:t>0</w:t>
            </w:r>
            <w:r>
              <w:rPr>
                <w:color w:val="000000"/>
                <w:sz w:val="24"/>
                <w:szCs w:val="22"/>
              </w:rPr>
              <w:t xml:space="preserve">] OpenAI. Best practices for prompt engineering with OpenAI API[EB/OL]. https://platform.openai.com/docs/guides/prompt-engineering, 2023. </w:t>
            </w:r>
          </w:p>
        </w:tc>
      </w:tr>
    </w:tbl>
    <w:p w14:paraId="3A16082E">
      <w:r>
        <w:rPr>
          <w:rFonts w:hint="eastAsia" w:ascii="楷体_GB2312" w:eastAsia="楷体_GB2312"/>
          <w:sz w:val="18"/>
          <w:szCs w:val="18"/>
        </w:rPr>
        <w:t>若所填内容超出此页可另加页，页码顺延。</w:t>
      </w:r>
      <w:bookmarkStart w:id="1" w:name="_GoBack"/>
      <w:bookmarkEnd w:id="1"/>
      <w:bookmarkStart w:id="0" w:name="_Hlk83305120"/>
    </w:p>
    <w:bookmarkEnd w:id="0"/>
    <w:tbl>
      <w:tblPr>
        <w:tblStyle w:val="5"/>
        <w:tblW w:w="9197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7"/>
      </w:tblGrid>
      <w:tr w14:paraId="582282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7" w:type="dxa"/>
            <w:tcBorders>
              <w:bottom w:val="single" w:color="auto" w:sz="12" w:space="0"/>
            </w:tcBorders>
          </w:tcPr>
          <w:p w14:paraId="47F20779">
            <w:pPr>
              <w:rPr>
                <w:rFonts w:ascii="仿宋_GB2312" w:eastAsia="仿宋_GB2312"/>
                <w:b/>
                <w:color w:val="FF0000"/>
                <w:szCs w:val="21"/>
              </w:rPr>
            </w:pPr>
            <w:r>
              <w:rPr>
                <w:rFonts w:hint="eastAsia"/>
                <w:b/>
                <w:szCs w:val="21"/>
              </w:rPr>
              <w:t>七、指导教师意见</w:t>
            </w:r>
            <w:r>
              <w:rPr>
                <w:rFonts w:ascii="仿宋_GB2312" w:eastAsia="仿宋_GB2312"/>
                <w:b/>
                <w:color w:val="FF0000"/>
                <w:szCs w:val="21"/>
              </w:rPr>
              <w:t>(</w:t>
            </w:r>
            <w:r>
              <w:rPr>
                <w:rFonts w:hint="eastAsia" w:ascii="仿宋_GB2312" w:eastAsia="仿宋_GB2312"/>
                <w:b/>
                <w:color w:val="FF0000"/>
                <w:szCs w:val="21"/>
              </w:rPr>
              <w:t>重点考察课题意义、论文的逻辑构建、写作安排以及专业能力的体现)</w:t>
            </w:r>
          </w:p>
          <w:p w14:paraId="2B1596FB">
            <w:pPr>
              <w:rPr>
                <w:color w:val="FF0000"/>
                <w:szCs w:val="21"/>
              </w:rPr>
            </w:pPr>
          </w:p>
          <w:p w14:paraId="764DF5D8">
            <w:pPr>
              <w:rPr>
                <w:szCs w:val="21"/>
              </w:rPr>
            </w:pPr>
          </w:p>
          <w:p w14:paraId="27DD576E">
            <w:pPr>
              <w:rPr>
                <w:szCs w:val="21"/>
              </w:rPr>
            </w:pPr>
          </w:p>
          <w:p w14:paraId="716FE974">
            <w:pPr>
              <w:rPr>
                <w:szCs w:val="21"/>
              </w:rPr>
            </w:pPr>
          </w:p>
          <w:p w14:paraId="6D5C06D1">
            <w:pPr>
              <w:rPr>
                <w:szCs w:val="21"/>
              </w:rPr>
            </w:pPr>
          </w:p>
          <w:p w14:paraId="7E7E6D8B">
            <w:pPr>
              <w:rPr>
                <w:szCs w:val="21"/>
              </w:rPr>
            </w:pPr>
          </w:p>
          <w:tbl>
            <w:tblPr>
              <w:tblStyle w:val="6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85"/>
              <w:gridCol w:w="4486"/>
            </w:tblGrid>
            <w:tr w14:paraId="1AE723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74" w:hRule="atLeast"/>
              </w:trPr>
              <w:tc>
                <w:tcPr>
                  <w:tcW w:w="4485" w:type="dxa"/>
                </w:tcPr>
                <w:p w14:paraId="533D63CF">
                  <w:pPr>
                    <w:ind w:firstLine="420" w:firstLineChars="20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是否同意通过开题报告？</w:t>
                  </w:r>
                </w:p>
                <w:p w14:paraId="752ACED8">
                  <w:pPr>
                    <w:ind w:firstLine="420" w:firstLineChars="20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同意（），不同意（）。</w:t>
                  </w:r>
                </w:p>
                <w:p w14:paraId="064E1BB9">
                  <w:pPr>
                    <w:rPr>
                      <w:szCs w:val="21"/>
                    </w:rPr>
                  </w:pPr>
                </w:p>
              </w:tc>
              <w:tc>
                <w:tcPr>
                  <w:tcW w:w="4486" w:type="dxa"/>
                </w:tcPr>
                <w:p w14:paraId="7D8A475E">
                  <w:pPr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指导教师签名：</w:t>
                  </w:r>
                </w:p>
                <w:p w14:paraId="3CE0E612">
                  <w:pPr>
                    <w:ind w:left="525" w:hanging="525" w:hangingChars="25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日期：</w:t>
                  </w:r>
                </w:p>
              </w:tc>
            </w:tr>
          </w:tbl>
          <w:p w14:paraId="3044BD64">
            <w:pPr>
              <w:rPr>
                <w:szCs w:val="21"/>
              </w:rPr>
            </w:pPr>
          </w:p>
        </w:tc>
      </w:tr>
      <w:tr w14:paraId="3C9C56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2" w:hRule="atLeast"/>
        </w:trPr>
        <w:tc>
          <w:tcPr>
            <w:tcW w:w="9197" w:type="dxa"/>
            <w:tcBorders>
              <w:top w:val="single" w:color="auto" w:sz="12" w:space="0"/>
              <w:bottom w:val="single" w:color="auto" w:sz="12" w:space="0"/>
            </w:tcBorders>
          </w:tcPr>
          <w:p w14:paraId="3F051FD4">
            <w:pPr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八、基层教学单位（专业）审核意见</w:t>
            </w:r>
          </w:p>
          <w:p w14:paraId="42A2D32B">
            <w:pPr>
              <w:rPr>
                <w:szCs w:val="21"/>
              </w:rPr>
            </w:pPr>
          </w:p>
          <w:p w14:paraId="7B8BF993">
            <w:pPr>
              <w:rPr>
                <w:szCs w:val="21"/>
              </w:rPr>
            </w:pPr>
          </w:p>
          <w:p w14:paraId="43F27E41">
            <w:pPr>
              <w:rPr>
                <w:szCs w:val="21"/>
              </w:rPr>
            </w:pPr>
          </w:p>
          <w:p w14:paraId="48E25536">
            <w:pPr>
              <w:rPr>
                <w:szCs w:val="21"/>
              </w:rPr>
            </w:pPr>
          </w:p>
          <w:p w14:paraId="2DEBCB0A">
            <w:pPr>
              <w:ind w:firstLine="420" w:firstLineChars="20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是否同意通过开题报告？同意（），不同意（）。</w:t>
            </w:r>
          </w:p>
          <w:p w14:paraId="49D910FB">
            <w:pPr>
              <w:rPr>
                <w:szCs w:val="21"/>
              </w:rPr>
            </w:pPr>
          </w:p>
          <w:p w14:paraId="276D3890">
            <w:pPr>
              <w:rPr>
                <w:szCs w:val="21"/>
              </w:rPr>
            </w:pPr>
          </w:p>
          <w:p w14:paraId="241FBBD0">
            <w:pPr>
              <w:rPr>
                <w:szCs w:val="21"/>
              </w:rPr>
            </w:pPr>
          </w:p>
          <w:p w14:paraId="7074E9A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基层教学单位（专业）责任人签名：</w:t>
            </w:r>
          </w:p>
          <w:p w14:paraId="5035D7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日期：</w:t>
            </w:r>
          </w:p>
        </w:tc>
      </w:tr>
    </w:tbl>
    <w:p w14:paraId="54AD8C7C">
      <w:pPr>
        <w:spacing w:line="360" w:lineRule="auto"/>
        <w:rPr>
          <w:b/>
          <w:bCs/>
          <w:color w:val="008000"/>
          <w:szCs w:val="21"/>
        </w:rPr>
      </w:pPr>
    </w:p>
    <w:p w14:paraId="20F363EA">
      <w:pPr>
        <w:spacing w:line="360" w:lineRule="auto"/>
        <w:rPr>
          <w:b/>
          <w:bCs/>
          <w:color w:val="008000"/>
          <w:szCs w:val="21"/>
        </w:rPr>
      </w:pPr>
      <w:r>
        <w:rPr>
          <w:rFonts w:hint="eastAsia"/>
          <w:b/>
          <w:bCs/>
          <w:color w:val="008000"/>
          <w:szCs w:val="21"/>
        </w:rPr>
        <w:t>说明：</w:t>
      </w:r>
    </w:p>
    <w:p w14:paraId="344CCCF1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>1. 学生在指导教师指导下独立完成开题报告。</w:t>
      </w:r>
    </w:p>
    <w:p w14:paraId="015F1797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>2. 开题报告须经过指导教师审阅及同意，基层教学单位（专业）审查合格后，方可正式进入下一步毕业设计（论文）阶段。</w:t>
      </w:r>
    </w:p>
    <w:p w14:paraId="3818ADC2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>3. 开题报告学院存档，学校检查。</w:t>
      </w:r>
    </w:p>
    <w:p w14:paraId="25CEC445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>4. 理、工科开题报告撰写不少于2500字，人文社科开题报告不少于3500字。</w:t>
      </w:r>
    </w:p>
    <w:p w14:paraId="084C5360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>5. 外国语学院学生需使用所学外语进行撰写。</w:t>
      </w:r>
    </w:p>
    <w:sectPr>
      <w:pgSz w:w="11907" w:h="16840"/>
      <w:pgMar w:top="1701" w:right="1157" w:bottom="936" w:left="144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C1852">
    <w:pPr>
      <w:pStyle w:val="3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6</w:t>
    </w:r>
    <w:r>
      <w:rPr>
        <w:rStyle w:val="8"/>
      </w:rPr>
      <w:fldChar w:fldCharType="end"/>
    </w:r>
  </w:p>
  <w:p w14:paraId="3D3DCB85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238E0">
    <w:pPr>
      <w:pStyle w:val="3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497CD92C"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5B2598"/>
    <w:multiLevelType w:val="multilevel"/>
    <w:tmpl w:val="105B2598"/>
    <w:lvl w:ilvl="0" w:tentative="0">
      <w:start w:val="1"/>
      <w:numFmt w:val="decimal"/>
      <w:lvlText w:val="(%1)"/>
      <w:lvlJc w:val="left"/>
      <w:pPr>
        <w:tabs>
          <w:tab w:val="left" w:pos="-420"/>
        </w:tabs>
        <w:ind w:left="60" w:hanging="360"/>
      </w:pPr>
      <w:rPr>
        <w:rFonts w:hint="default" w:ascii="Times New Roman" w:hAnsi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-420"/>
        </w:tabs>
        <w:ind w:left="580" w:hanging="440"/>
      </w:pPr>
    </w:lvl>
    <w:lvl w:ilvl="2" w:tentative="0">
      <w:start w:val="1"/>
      <w:numFmt w:val="lowerRoman"/>
      <w:lvlText w:val="%3."/>
      <w:lvlJc w:val="right"/>
      <w:pPr>
        <w:tabs>
          <w:tab w:val="left" w:pos="-420"/>
        </w:tabs>
        <w:ind w:left="1020" w:hanging="440"/>
      </w:pPr>
    </w:lvl>
    <w:lvl w:ilvl="3" w:tentative="0">
      <w:start w:val="1"/>
      <w:numFmt w:val="decimal"/>
      <w:lvlText w:val="%4."/>
      <w:lvlJc w:val="left"/>
      <w:pPr>
        <w:tabs>
          <w:tab w:val="left" w:pos="-420"/>
        </w:tabs>
        <w:ind w:left="1460" w:hanging="440"/>
      </w:pPr>
    </w:lvl>
    <w:lvl w:ilvl="4" w:tentative="0">
      <w:start w:val="1"/>
      <w:numFmt w:val="lowerLetter"/>
      <w:lvlText w:val="%5)"/>
      <w:lvlJc w:val="left"/>
      <w:pPr>
        <w:tabs>
          <w:tab w:val="left" w:pos="-420"/>
        </w:tabs>
        <w:ind w:left="1900" w:hanging="440"/>
      </w:pPr>
    </w:lvl>
    <w:lvl w:ilvl="5" w:tentative="0">
      <w:start w:val="1"/>
      <w:numFmt w:val="lowerRoman"/>
      <w:lvlText w:val="%6."/>
      <w:lvlJc w:val="right"/>
      <w:pPr>
        <w:tabs>
          <w:tab w:val="left" w:pos="-420"/>
        </w:tabs>
        <w:ind w:left="2340" w:hanging="440"/>
      </w:pPr>
    </w:lvl>
    <w:lvl w:ilvl="6" w:tentative="0">
      <w:start w:val="1"/>
      <w:numFmt w:val="decimal"/>
      <w:lvlText w:val="%7."/>
      <w:lvlJc w:val="left"/>
      <w:pPr>
        <w:tabs>
          <w:tab w:val="left" w:pos="-420"/>
        </w:tabs>
        <w:ind w:left="2780" w:hanging="440"/>
      </w:pPr>
    </w:lvl>
    <w:lvl w:ilvl="7" w:tentative="0">
      <w:start w:val="1"/>
      <w:numFmt w:val="lowerLetter"/>
      <w:lvlText w:val="%8)"/>
      <w:lvlJc w:val="left"/>
      <w:pPr>
        <w:tabs>
          <w:tab w:val="left" w:pos="-420"/>
        </w:tabs>
        <w:ind w:left="3220" w:hanging="440"/>
      </w:pPr>
    </w:lvl>
    <w:lvl w:ilvl="8" w:tentative="0">
      <w:start w:val="1"/>
      <w:numFmt w:val="lowerRoman"/>
      <w:lvlText w:val="%9."/>
      <w:lvlJc w:val="right"/>
      <w:pPr>
        <w:tabs>
          <w:tab w:val="left" w:pos="-420"/>
        </w:tabs>
        <w:ind w:left="36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E0F5A"/>
    <w:rsid w:val="00001694"/>
    <w:rsid w:val="00011629"/>
    <w:rsid w:val="000254F5"/>
    <w:rsid w:val="00027E1E"/>
    <w:rsid w:val="0003227E"/>
    <w:rsid w:val="00062639"/>
    <w:rsid w:val="00071930"/>
    <w:rsid w:val="00080084"/>
    <w:rsid w:val="000C228D"/>
    <w:rsid w:val="000C5A4B"/>
    <w:rsid w:val="000C6053"/>
    <w:rsid w:val="000D556B"/>
    <w:rsid w:val="0010442D"/>
    <w:rsid w:val="00117083"/>
    <w:rsid w:val="00124C0A"/>
    <w:rsid w:val="00137E2C"/>
    <w:rsid w:val="0014011B"/>
    <w:rsid w:val="00145AB7"/>
    <w:rsid w:val="00146316"/>
    <w:rsid w:val="00147851"/>
    <w:rsid w:val="00154C18"/>
    <w:rsid w:val="001706CD"/>
    <w:rsid w:val="00194425"/>
    <w:rsid w:val="001B2371"/>
    <w:rsid w:val="001C4DD0"/>
    <w:rsid w:val="001D7AB0"/>
    <w:rsid w:val="001E29B2"/>
    <w:rsid w:val="001E3FEC"/>
    <w:rsid w:val="001E6BFE"/>
    <w:rsid w:val="00206883"/>
    <w:rsid w:val="00210BA3"/>
    <w:rsid w:val="00215E9F"/>
    <w:rsid w:val="00227F85"/>
    <w:rsid w:val="0023663A"/>
    <w:rsid w:val="00251099"/>
    <w:rsid w:val="00255367"/>
    <w:rsid w:val="0026333C"/>
    <w:rsid w:val="00273C8B"/>
    <w:rsid w:val="002804BA"/>
    <w:rsid w:val="002A21C9"/>
    <w:rsid w:val="002A5AB7"/>
    <w:rsid w:val="002C45C2"/>
    <w:rsid w:val="002C4961"/>
    <w:rsid w:val="002E676D"/>
    <w:rsid w:val="003006B4"/>
    <w:rsid w:val="00315D38"/>
    <w:rsid w:val="00316B12"/>
    <w:rsid w:val="00351CAE"/>
    <w:rsid w:val="00357B03"/>
    <w:rsid w:val="003713CF"/>
    <w:rsid w:val="00381233"/>
    <w:rsid w:val="00391ECF"/>
    <w:rsid w:val="0039521C"/>
    <w:rsid w:val="003A34F9"/>
    <w:rsid w:val="003C04EA"/>
    <w:rsid w:val="003C773A"/>
    <w:rsid w:val="003E5579"/>
    <w:rsid w:val="003F0388"/>
    <w:rsid w:val="00400529"/>
    <w:rsid w:val="00404CB1"/>
    <w:rsid w:val="00416478"/>
    <w:rsid w:val="0043385D"/>
    <w:rsid w:val="00440D66"/>
    <w:rsid w:val="00452E14"/>
    <w:rsid w:val="00475EE5"/>
    <w:rsid w:val="00477110"/>
    <w:rsid w:val="004B35E3"/>
    <w:rsid w:val="00515E2D"/>
    <w:rsid w:val="00522F90"/>
    <w:rsid w:val="005318F9"/>
    <w:rsid w:val="005567C8"/>
    <w:rsid w:val="005735FE"/>
    <w:rsid w:val="00590A77"/>
    <w:rsid w:val="005B1C0F"/>
    <w:rsid w:val="005B292D"/>
    <w:rsid w:val="005B5018"/>
    <w:rsid w:val="005B5330"/>
    <w:rsid w:val="005B5707"/>
    <w:rsid w:val="005E2B35"/>
    <w:rsid w:val="00605769"/>
    <w:rsid w:val="006705A6"/>
    <w:rsid w:val="006933A8"/>
    <w:rsid w:val="006A03B9"/>
    <w:rsid w:val="006B0835"/>
    <w:rsid w:val="006B4866"/>
    <w:rsid w:val="006D0FEE"/>
    <w:rsid w:val="006F3763"/>
    <w:rsid w:val="006F60D5"/>
    <w:rsid w:val="00701691"/>
    <w:rsid w:val="00723D67"/>
    <w:rsid w:val="00737238"/>
    <w:rsid w:val="0076339A"/>
    <w:rsid w:val="007654EA"/>
    <w:rsid w:val="00795D30"/>
    <w:rsid w:val="007A2687"/>
    <w:rsid w:val="007B58FF"/>
    <w:rsid w:val="007C26DD"/>
    <w:rsid w:val="007C34D3"/>
    <w:rsid w:val="007D03FA"/>
    <w:rsid w:val="007D38F0"/>
    <w:rsid w:val="007E3F0E"/>
    <w:rsid w:val="007F38B9"/>
    <w:rsid w:val="00801744"/>
    <w:rsid w:val="00807438"/>
    <w:rsid w:val="008108AB"/>
    <w:rsid w:val="00854649"/>
    <w:rsid w:val="008739D8"/>
    <w:rsid w:val="0088319A"/>
    <w:rsid w:val="008A1910"/>
    <w:rsid w:val="008E0F5A"/>
    <w:rsid w:val="008E6525"/>
    <w:rsid w:val="008E6FF1"/>
    <w:rsid w:val="00946E7D"/>
    <w:rsid w:val="00953065"/>
    <w:rsid w:val="00975066"/>
    <w:rsid w:val="0098226D"/>
    <w:rsid w:val="00984C6E"/>
    <w:rsid w:val="009941F9"/>
    <w:rsid w:val="00997C18"/>
    <w:rsid w:val="009A72F3"/>
    <w:rsid w:val="009B12D3"/>
    <w:rsid w:val="009B1BB1"/>
    <w:rsid w:val="009C1923"/>
    <w:rsid w:val="009D5A92"/>
    <w:rsid w:val="009E702B"/>
    <w:rsid w:val="00A0635E"/>
    <w:rsid w:val="00A3437C"/>
    <w:rsid w:val="00A5146F"/>
    <w:rsid w:val="00A67D87"/>
    <w:rsid w:val="00A9119B"/>
    <w:rsid w:val="00A93326"/>
    <w:rsid w:val="00A97D5B"/>
    <w:rsid w:val="00AE186F"/>
    <w:rsid w:val="00AE4444"/>
    <w:rsid w:val="00AF488C"/>
    <w:rsid w:val="00AF7D41"/>
    <w:rsid w:val="00B21C91"/>
    <w:rsid w:val="00B402C0"/>
    <w:rsid w:val="00B4364A"/>
    <w:rsid w:val="00B47673"/>
    <w:rsid w:val="00B63B4A"/>
    <w:rsid w:val="00B713FB"/>
    <w:rsid w:val="00B76B66"/>
    <w:rsid w:val="00B95379"/>
    <w:rsid w:val="00BA2612"/>
    <w:rsid w:val="00BA3AAA"/>
    <w:rsid w:val="00BB7BD8"/>
    <w:rsid w:val="00BC7BF5"/>
    <w:rsid w:val="00BE73D1"/>
    <w:rsid w:val="00BF6AC4"/>
    <w:rsid w:val="00C24BE4"/>
    <w:rsid w:val="00C30C21"/>
    <w:rsid w:val="00C34F16"/>
    <w:rsid w:val="00C477C5"/>
    <w:rsid w:val="00C53F63"/>
    <w:rsid w:val="00C623FC"/>
    <w:rsid w:val="00C706A2"/>
    <w:rsid w:val="00C93721"/>
    <w:rsid w:val="00CA0C1E"/>
    <w:rsid w:val="00CB29F9"/>
    <w:rsid w:val="00CE25C8"/>
    <w:rsid w:val="00D106C0"/>
    <w:rsid w:val="00D1174E"/>
    <w:rsid w:val="00D25AF8"/>
    <w:rsid w:val="00D56A14"/>
    <w:rsid w:val="00D5742E"/>
    <w:rsid w:val="00D84FD6"/>
    <w:rsid w:val="00D8649F"/>
    <w:rsid w:val="00D90968"/>
    <w:rsid w:val="00DC2027"/>
    <w:rsid w:val="00DD5E0A"/>
    <w:rsid w:val="00DE6A89"/>
    <w:rsid w:val="00DF4F58"/>
    <w:rsid w:val="00E037EB"/>
    <w:rsid w:val="00E04139"/>
    <w:rsid w:val="00E064B8"/>
    <w:rsid w:val="00E219D9"/>
    <w:rsid w:val="00E27409"/>
    <w:rsid w:val="00E36112"/>
    <w:rsid w:val="00E36222"/>
    <w:rsid w:val="00E47433"/>
    <w:rsid w:val="00E60C2E"/>
    <w:rsid w:val="00E94334"/>
    <w:rsid w:val="00EC284D"/>
    <w:rsid w:val="00EC783C"/>
    <w:rsid w:val="00ED0BBC"/>
    <w:rsid w:val="00EF595C"/>
    <w:rsid w:val="00F01472"/>
    <w:rsid w:val="00F203DF"/>
    <w:rsid w:val="00F46DC7"/>
    <w:rsid w:val="00F47604"/>
    <w:rsid w:val="00F72DCB"/>
    <w:rsid w:val="00F82626"/>
    <w:rsid w:val="00F9308C"/>
    <w:rsid w:val="00FC6B68"/>
    <w:rsid w:val="00FC6C8D"/>
    <w:rsid w:val="00FD1479"/>
    <w:rsid w:val="00FD56E3"/>
    <w:rsid w:val="15451A1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</w:style>
  <w:style w:type="character" w:styleId="9">
    <w:name w:val="Hyperlink"/>
    <w:basedOn w:val="7"/>
    <w:unhideWhenUsed/>
    <w:uiPriority w:val="0"/>
    <w:rPr>
      <w:color w:val="0000FF" w:themeColor="hyperlink"/>
      <w:u w:val="single"/>
    </w:rPr>
  </w:style>
  <w:style w:type="character" w:customStyle="1" w:styleId="10">
    <w:name w:val="批注框文本 字符"/>
    <w:link w:val="2"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paragraph" w:customStyle="1" w:styleId="13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</Company>
  <Pages>7</Pages>
  <Words>2394</Words>
  <Characters>2582</Characters>
  <Lines>33</Lines>
  <Paragraphs>9</Paragraphs>
  <TotalTime>0</TotalTime>
  <ScaleCrop>false</ScaleCrop>
  <LinksUpToDate>false</LinksUpToDate>
  <CharactersWithSpaces>2597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2021-09-23T07:17:00Z</dcterms:created>
  <dc:creator>3</dc:creator>
  <cp:lastModifiedBy>倾盆大雨</cp:lastModifiedBy>
  <cp:lastPrinted>2017-12-06T02:53:00Z</cp:lastPrinted>
  <dcterms:modified xsi:type="dcterms:W3CDTF">2026-01-15T13:55:15Z</dcterms:modified>
  <dc:title>华南理工大学数学科学学院</dc:title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eyJoZGlkIjoiZTgzNmMzZGJlM2Q3ODM0Mjg4MDU3MjBlZDY2ZTRkZmUiLCJ1c2VySWQiOiI0ODMxMjM2MTYifQ==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4B0F0CCC280A46AAA87EF5650B45D6BF_12</vt:lpwstr>
  </property>
</Properties>
</file>