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1F3A5F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EXECUTIVE STRATEGIC ACTION RECOMMENDATIONS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9"/>
            <w:vAlign w:val="center"/>
          </w:tcPr>
          <w:p>
            <w:pPr>
              <w:spacing w:before="60" w:after="60"/>
              <w:ind w:left="43"/>
            </w:pPr>
            <w:r>
              <w:rPr>
                <w:rFonts w:ascii="Aptos" w:hAnsi="Aptos"/>
                <w:b/>
                <w:color w:val="1F395B"/>
                <w:sz w:val="23"/>
              </w:rPr>
              <w:t>1. High-Risk Patient Flagging</w:t>
            </w:r>
          </w:p>
        </w:tc>
      </w:tr>
    </w:tbl>
    <w:p>
      <w:pPr>
        <w:spacing w:before="100" w:after="280" w:line="269" w:lineRule="auto"/>
      </w:pPr>
      <w:r>
        <w:rPr>
          <w:rFonts w:ascii="Aptos" w:hAnsi="Aptos"/>
          <w:color w:val="1F395B"/>
          <w:sz w:val="21"/>
        </w:rPr>
        <w:t>Patients with ≥1 prior ER visit (58.7%–89.0% readmission) and age 70+ (48.1% readmission) should be automatically enrolled into high-touch transitional care management (TCM).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9"/>
            <w:vAlign w:val="center"/>
          </w:tcPr>
          <w:p>
            <w:pPr>
              <w:spacing w:before="60" w:after="60"/>
              <w:ind w:left="43"/>
            </w:pPr>
            <w:r>
              <w:rPr>
                <w:rFonts w:ascii="Aptos" w:hAnsi="Aptos"/>
                <w:b/>
                <w:color w:val="1F395B"/>
                <w:sz w:val="23"/>
              </w:rPr>
              <w:t>2. Medication Change Follow-up</w:t>
            </w:r>
          </w:p>
        </w:tc>
      </w:tr>
    </w:tbl>
    <w:p>
      <w:pPr>
        <w:spacing w:before="100" w:after="280" w:line="269" w:lineRule="auto"/>
      </w:pPr>
      <w:r>
        <w:rPr>
          <w:rFonts w:ascii="Aptos" w:hAnsi="Aptos"/>
          <w:color w:val="1F395B"/>
          <w:sz w:val="21"/>
        </w:rPr>
        <w:t>Medication dosage changes during admission elevate readmission risk to 48.6%. Mandate a 48-hour post-discharge pharmacist tele-consultation to verify patient adherence.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9"/>
            <w:vAlign w:val="center"/>
          </w:tcPr>
          <w:p>
            <w:pPr>
              <w:spacing w:before="60" w:after="60"/>
              <w:ind w:left="43"/>
            </w:pPr>
            <w:r>
              <w:rPr>
                <w:rFonts w:ascii="Aptos" w:hAnsi="Aptos"/>
                <w:b/>
                <w:color w:val="1F395B"/>
                <w:sz w:val="23"/>
              </w:rPr>
              <w:t>3. Specialty LOS Protocols</w:t>
            </w:r>
          </w:p>
        </w:tc>
      </w:tr>
    </w:tbl>
    <w:p>
      <w:pPr>
        <w:spacing w:before="100" w:after="280" w:line="269" w:lineRule="auto"/>
      </w:pPr>
      <w:r>
        <w:rPr>
          <w:rFonts w:ascii="Aptos" w:hAnsi="Aptos"/>
          <w:color w:val="1F395B"/>
          <w:sz w:val="21"/>
        </w:rPr>
        <w:t>Physical Medicine (8.89 days) and Psychiatry (6.64 days) exhibit the highest stay lengths. Establish step-down subacute care pathways to optimize bed utilization.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9"/>
            <w:vAlign w:val="center"/>
          </w:tcPr>
          <w:p>
            <w:pPr>
              <w:spacing w:before="60" w:after="60"/>
              <w:ind w:left="43"/>
            </w:pPr>
            <w:r>
              <w:rPr>
                <w:rFonts w:ascii="Aptos" w:hAnsi="Aptos"/>
                <w:b/>
                <w:color w:val="1F395B"/>
                <w:sz w:val="23"/>
              </w:rPr>
              <w:t>4. EHR Weight Documentation</w:t>
            </w:r>
          </w:p>
        </w:tc>
      </w:tr>
    </w:tbl>
    <w:p>
      <w:pPr>
        <w:spacing w:before="100" w:after="280" w:line="269" w:lineRule="auto"/>
      </w:pPr>
      <w:r>
        <w:rPr>
          <w:rFonts w:ascii="Aptos" w:hAnsi="Aptos"/>
          <w:color w:val="1F395B"/>
          <w:sz w:val="21"/>
        </w:rPr>
        <w:t>96.8% of weight entries are missing ('?'). Hospital leadership must enforce mandatory admission weight logging to support accurate dosing and nutritional assessment.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395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