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A33327"/>
          <w:spacing w:val="200"/>
          <w:sz w:val="20"/>
          <w:szCs w:val="20"/>
        </w:rPr>
        <w:t xml:space="preserve">AIA4 PRO EXTERIORS</w:t>
      </w:r>
    </w:p>
    <w:p>
      <w:pPr>
        <w:spacing w:after="60"/>
        <w:jc w:val="center"/>
      </w:pPr>
      <w:r>
        <w:rPr>
          <w:rFonts w:ascii="Arial" w:cs="Arial" w:eastAsia="Arial" w:hAnsi="Arial"/>
          <w:b/>
          <w:bCs/>
          <w:color w:val="13294B"/>
          <w:sz w:val="52"/>
          <w:szCs w:val="52"/>
        </w:rPr>
        <w:t xml:space="preserve">Website Design Brief</w:t>
      </w:r>
    </w:p>
    <w:p>
      <w:pPr>
        <w:spacing w:after="60"/>
        <w:jc w:val="center"/>
      </w:pPr>
      <w:r>
        <w:rPr>
          <w:rFonts w:ascii="Arial" w:cs="Arial" w:eastAsia="Arial" w:hAnsi="Arial"/>
          <w:color w:val="13294B"/>
          <w:sz w:val="32"/>
          <w:szCs w:val="32"/>
        </w:rPr>
        <w:t xml:space="preserve">Pass 1 — Strategy, Architecture &amp; Brand</w:t>
      </w:r>
    </w:p>
    <w:p>
      <w:pPr>
        <w:pBdr>
          <w:bottom w:val="single" w:color="EAA221" w:sz="6" w:space="16"/>
        </w:pBdr>
        <w:spacing w:after="500"/>
        <w:jc w:val="center"/>
      </w:pPr>
      <w:r>
        <w:rPr>
          <w:rFonts w:ascii="Arial" w:cs="Arial" w:eastAsia="Arial" w:hAnsi="Arial"/>
          <w:color w:val="666666"/>
          <w:sz w:val="20"/>
          <w:szCs w:val="20"/>
        </w:rPr>
        <w:t xml:space="preserve">Residential Reference Model: American Home Contractors + Apple Roofing</w:t>
      </w:r>
    </w:p>
    <w:p>
      <w:pPr>
        <w:spacing w:before="800"/>
      </w:pPr>
    </w:p>
    <w:p>
      <w:pPr>
        <w:spacing w:after="80"/>
        <w:jc w:val="center"/>
      </w:pPr>
      <w:r>
        <w:rPr>
          <w:rFonts w:ascii="Arial" w:cs="Arial" w:eastAsia="Arial" w:hAnsi="Arial"/>
          <w:color w:val="666666"/>
          <w:sz w:val="22"/>
          <w:szCs w:val="22"/>
        </w:rPr>
        <w:t xml:space="preserve">April 12, 2026</w:t>
      </w:r>
    </w:p>
    <w:p>
      <w:pPr>
        <w:spacing w:after="40"/>
        <w:jc w:val="center"/>
      </w:pPr>
      <w:r>
        <w:rPr>
          <w:rFonts w:ascii="Arial" w:cs="Arial" w:eastAsia="Arial" w:hAnsi="Arial"/>
          <w:sz w:val="22"/>
          <w:szCs w:val="22"/>
        </w:rPr>
        <w:t xml:space="preserve">Prepared by: Maren Solveig Castellan-Reyes</w:t>
      </w:r>
    </w:p>
    <w:p>
      <w:pPr>
        <w:spacing w:after="400"/>
        <w:jc w:val="center"/>
      </w:pPr>
      <w:r>
        <w:rPr>
          <w:rFonts w:ascii="Arial" w:cs="Arial" w:eastAsia="Arial" w:hAnsi="Arial"/>
          <w:color w:val="666666"/>
          <w:sz w:val="20"/>
          <w:szCs w:val="20"/>
        </w:rPr>
        <w:t xml:space="preserve">Senior Director, Website &amp; Application Experience</w:t>
      </w:r>
    </w:p>
    <w:p>
      <w:pPr>
        <w:jc w:val="center"/>
      </w:pPr>
      <w:r>
        <w:rPr>
          <w:rFonts w:ascii="Arial" w:cs="Arial" w:eastAsia="Arial" w:hAnsi="Arial"/>
          <w:b/>
          <w:bCs/>
          <w:color w:val="A33327"/>
          <w:spacing w:val="120"/>
          <w:sz w:val="16"/>
          <w:szCs w:val="16"/>
        </w:rPr>
        <w:t xml:space="preserve">INTERNAL — NOT FOR CLIENT DISTRIBUTION</w:t>
      </w:r>
    </w:p>
    <w:p>
      <w:pPr>
        <w:sectPr>
          <w:pgSz w:w="12240" w:h="15840" w:orient="portrait"/>
          <w:pgMar w:top="1440" w:right="1440" w:bottom="1440" w:left="1440" w:header="708" w:footer="708" w:gutter="0"/>
          <w:pgNumType/>
          <w:docGrid w:linePitch="360"/>
        </w:sectPr>
      </w:pPr>
    </w:p>
    <w:p>
      <w:pPr>
        <w:pStyle w:val="Heading1"/>
      </w:pPr>
      <w:r>
        <w:t xml:space="preserve">1. Engagement Context &amp; Mandate</w:t>
      </w:r>
    </w:p>
    <w:p>
      <w:pPr>
        <w:pStyle w:val="Heading2"/>
      </w:pPr>
      <w:r>
        <w:t xml:space="preserve">1.1 The Business Case</w:t>
      </w:r>
    </w:p>
    <w:p>
      <w:pPr>
        <w:spacing w:after="160"/>
      </w:pPr>
      <w:r>
        <w:t xml:space="preserve">Pro Exteriors is an 80/20 commercial-to-residential roofing company operating across Texas, Kansas, Georgia, and Colorado. Their current website at proexteriorsus.com is a digital business card — a hero image, a phone number, three service tiles, and a contact form that goes to a generic inbox. By every meaningful metric it is a cost center disguised as an asset: near-zero organic traffic, high bounce rates, and leads that waste the sales team’s time because nothing on the site qualifies them.</w:t>
      </w:r>
    </w:p>
    <w:p>
      <w:pPr>
        <w:spacing w:after="160"/>
      </w:pPr>
      <w:r>
        <w:t xml:space="preserve">AIA4 Pro Exteriors has been retained on a performance-tied engagement to turn this site into a growth engine. The contract is structured so that if the site doesn’t convert, we don’t get paid. This is not a branding exercise — it is a revenue mandate with a measurable target.</w:t>
      </w:r>
    </w:p>
    <w:p>
      <w:pPr>
        <w:pStyle w:val="Heading2"/>
      </w:pPr>
      <w:r>
        <w:t xml:space="preserve">1.2 The Growth Target</w:t>
      </w:r>
    </w:p>
    <w:p>
      <w:pPr>
        <w:spacing w:after="160"/>
      </w:pPr>
      <w:r>
        <w:rPr>
          <w:b/>
          <w:bCs/>
        </w:rPr>
        <w:t xml:space="preserve">20–30% of company growth attributable to the website over five years.</w:t>
      </w:r>
      <w:r>
        <w:t xml:space="preserve"> This means the site must generate qualified leads at a rate and quality that directly impacts revenue. The marketing director should walk into a board meeting in Year 5 and say, “30% of new revenue this year came through the site, and the site won three awards while doing it.”</w:t>
      </w:r>
    </w:p>
    <w:p>
      <w:pPr>
        <w:spacing w:after="160"/>
      </w:pPr>
      <w:r>
        <w:t xml:space="preserve">Against this competitive set, the target is a floor, not a ceiling. The category bar is humiliatingly low — most competitors were built in 2017 by a relative of the owner, have Core Web Vitals scores in the red, no schema markup, and conversion paths that assume the user already wants to buy. The brands that invest in a serious digital experience in roofing don’t win incrementally — they vacuum up the entire intent funnel because nobody else is competing.</w:t>
      </w:r>
    </w:p>
    <w:p>
      <w:pPr>
        <w:pStyle w:val="Heading2"/>
      </w:pPr>
      <w:r>
        <w:t xml:space="preserve">1.3 The Retainer Model</w:t>
      </w:r>
    </w:p>
    <w:p>
      <w:pPr>
        <w:spacing w:after="160"/>
      </w:pPr>
      <w:r>
        <w:t xml:space="preserve">The engagement is a $100K+/year performance-tied retainer. Every decision in this brief is accountable to that model. We don’t ship pretty work that doesn’t move numbers, and we don’t ship ugly work that hurts the brand we built our reputation on. The brief exists to refuse the bifurcation between craft and conversion that most agencies quietly accept.</w:t>
      </w:r>
    </w:p>
    <w:p>
      <w:pPr>
        <w:pStyle w:val="Heading2"/>
      </w:pPr>
      <w:r>
        <w:t xml:space="preserve">1.4 What This Brief Controls</w:t>
      </w:r>
    </w:p>
    <w:p>
      <w:pPr>
        <w:spacing w:after="160"/>
      </w:pPr>
      <w:r>
        <w:t xml:space="preserve">Once approved, this brief is the decision document. Every wireframe, design comp, component, line of code, content brief, and A/B test hypothesis gets measured against it. If a decision isn’t traceable to a section of this brief, it doesn’t ship.</w:t>
      </w:r>
    </w:p>
    <w:p>
      <w:r>
        <w:br w:type="page"/>
      </w:r>
    </w:p>
    <w:p>
      <w:pPr>
        <w:pStyle w:val="Heading1"/>
      </w:pPr>
      <w:r>
        <w:t xml:space="preserve">2. Residential Reference Site Analysis</w:t>
      </w:r>
    </w:p>
    <w:p>
      <w:pPr>
        <w:spacing w:after="160"/>
      </w:pPr>
      <w:r>
        <w:t xml:space="preserve">Two reference sites have been selected as the residential design benchmark: American Home Contractors (americanhomecontractors.com) and Apple Roofing (appleroof.com). Both are top-performing residential roofing websites in organic search. The following teardowns are based on full site crawls, keyword data, and structural analysis from our competitor dataset.</w:t>
      </w:r>
    </w:p>
    <w:p>
      <w:pPr>
        <w:pStyle w:val="Heading2"/>
      </w:pPr>
      <w:r>
        <w:t xml:space="preserve">2.1 American Home Contractors — Structural Teardown</w:t>
      </w:r>
    </w:p>
    <w:p>
      <w:pPr>
        <w:pStyle w:val="Heading3"/>
      </w:pPr>
      <w:r>
        <w:t xml:space="preserve">Architecture</w:t>
      </w:r>
    </w:p>
    <w:p>
      <w:pPr>
        <w:spacing w:after="160"/>
      </w:pPr>
      <w:r>
        <w:t xml:space="preserve">197 pages. Hierarchical structure with main service verticals (Roofing, Siding, Windows, Gutters, Doors, Solar) plus an extensive blog archive (100+ posts across 8+ pages of pagination). MD/VA-focused with location-based pages. URL patterns are clean and intent-rich (/roof-repair/, /solar-roof/, /instant-estimate/).</w:t>
      </w:r>
    </w:p>
    <w:p>
      <w:pPr>
        <w:pStyle w:val="Heading3"/>
      </w:pPr>
      <w:r>
        <w:t xml:space="preserve">What’s Strong</w:t>
      </w:r>
    </w:p>
    <w:p>
      <w:pPr>
        <w:pStyle w:val="ListParagraph"/>
        <w:numPr>
          <w:ilvl w:val="0"/>
          <w:numId w:val="2"/>
        </w:numPr>
        <w:spacing w:after="100"/>
      </w:pPr>
      <w:r>
        <w:rPr>
          <w:b/>
          <w:bCs/>
        </w:rPr>
        <w:t xml:space="preserve">Service productization: </w:t>
      </w:r>
      <w:r>
        <w:t xml:space="preserve">They’ve turned commoditized repair work into branded products — “Roof Tune-Up” ($149), “Gutter Tune-Up” — that rank for high-intent terms (“roof tune-up near me” at position #1). This is a conversion architecture play, not just a naming trick. It creates a low-friction entry point for homeowners who aren’t ready for a full replacement.</w:t>
      </w:r>
    </w:p>
    <w:p>
      <w:pPr>
        <w:pStyle w:val="ListParagraph"/>
        <w:numPr>
          <w:ilvl w:val="0"/>
          <w:numId w:val="2"/>
        </w:numPr>
        <w:spacing w:after="100"/>
      </w:pPr>
      <w:r>
        <w:rPr>
          <w:b/>
          <w:bCs/>
        </w:rPr>
        <w:t xml:space="preserve">Instant estimate tool: </w:t>
      </w:r>
      <w:r>
        <w:t xml:space="preserve">A dedicated /instant-estimate/ page with 85 outlinks driving lead capture. The tool converts browsers into leads by reducing the friction of getting a price. This page is one of their highest-traffic assets.</w:t>
      </w:r>
    </w:p>
    <w:p>
      <w:pPr>
        <w:pStyle w:val="ListParagraph"/>
        <w:numPr>
          <w:ilvl w:val="0"/>
          <w:numId w:val="2"/>
        </w:numPr>
        <w:spacing w:after="100"/>
      </w:pPr>
      <w:r>
        <w:rPr>
          <w:b/>
          <w:bCs/>
        </w:rPr>
        <w:t xml:space="preserve">Solar as a differentiator: </w:t>
      </w:r>
      <w:r>
        <w:t xml:space="preserve">Major keyword and content investment in Tesla Solar Roof and GAF Timberline solar products. They rank #1 for “solar shingles maryland” — a high-ticket, high-margin service category that most roofers ignore.</w:t>
      </w:r>
    </w:p>
    <w:p>
      <w:pPr>
        <w:pStyle w:val="ListParagraph"/>
        <w:numPr>
          <w:ilvl w:val="0"/>
          <w:numId w:val="2"/>
        </w:numPr>
        <w:spacing w:after="100"/>
      </w:pPr>
      <w:r>
        <w:rPr>
          <w:b/>
          <w:bCs/>
        </w:rPr>
        <w:t xml:space="preserve">Content volume: </w:t>
      </w:r>
      <w:r>
        <w:t xml:space="preserve">100+ blog posts covering maintenance tips, seasonal guides, and educational content. This is the organic volume engine — every post is a potential landing page for long-tail search queries.</w:t>
      </w:r>
    </w:p>
    <w:p>
      <w:pPr>
        <w:pStyle w:val="ListParagraph"/>
        <w:numPr>
          <w:ilvl w:val="0"/>
          <w:numId w:val="2"/>
        </w:numPr>
        <w:spacing w:after="100"/>
      </w:pPr>
      <w:r>
        <w:rPr>
          <w:b/>
          <w:bCs/>
        </w:rPr>
        <w:t xml:space="preserve">Performance: </w:t>
      </w:r>
      <w:r>
        <w:t xml:space="preserve">FCP at 1.2s, server response times at 0.5–0.8s. One of the faster sites in the competitive set. Not green across the board (CLS issues on the estimate page from heavy JS), but materially faster than Supreme Roofing’s catastrophic 15.4s LCP.</w:t>
      </w:r>
    </w:p>
    <w:p>
      <w:pPr>
        <w:pStyle w:val="Heading3"/>
      </w:pPr>
      <w:r>
        <w:t xml:space="preserve">What’s Weak</w:t>
      </w:r>
    </w:p>
    <w:p>
      <w:pPr>
        <w:pStyle w:val="ListParagraph"/>
        <w:numPr>
          <w:ilvl w:val="0"/>
          <w:numId w:val="2"/>
        </w:numPr>
        <w:spacing w:after="100"/>
      </w:pPr>
      <w:r>
        <w:rPr>
          <w:b/>
          <w:bCs/>
        </w:rPr>
        <w:t xml:space="preserve">CLS on key pages: </w:t>
      </w:r>
      <w:r>
        <w:t xml:space="preserve">The instant estimate page ships 1.5MB+ of JavaScript across 48 files, causing layout shift (0.011). Fixable, but tells us this is a conversion page built without performance discipline.</w:t>
      </w:r>
    </w:p>
    <w:p>
      <w:pPr>
        <w:pStyle w:val="ListParagraph"/>
        <w:numPr>
          <w:ilvl w:val="0"/>
          <w:numId w:val="2"/>
        </w:numPr>
        <w:spacing w:after="100"/>
      </w:pPr>
      <w:r>
        <w:rPr>
          <w:b/>
          <w:bCs/>
        </w:rPr>
        <w:t xml:space="preserve">Design quality: </w:t>
      </w:r>
      <w:r>
        <w:t xml:space="preserve">Functional but not award-winning. The site converts but it doesn’t project the kind of premium brand confidence that a homeowner making a $15K+ decision needs to feel. This is the gap we’ll exploit — we can match their conversion architecture and beat their design craft.</w:t>
      </w:r>
    </w:p>
    <w:p>
      <w:pPr>
        <w:pStyle w:val="ListParagraph"/>
        <w:numPr>
          <w:ilvl w:val="0"/>
          <w:numId w:val="2"/>
        </w:numPr>
        <w:spacing w:after="100"/>
      </w:pPr>
      <w:r>
        <w:rPr>
          <w:b/>
          <w:bCs/>
        </w:rPr>
        <w:t xml:space="preserve">Residential-only positioning: </w:t>
      </w:r>
      <w:r>
        <w:t xml:space="preserve">No meaningful commercial presence. Pro Exteriors needs to do both, and AHC’s architecture doesn’t solve the two-audience routing problem.</w:t>
      </w:r>
    </w:p>
    <w:p>
      <w:pPr>
        <w:pStyle w:val="Heading3"/>
      </w:pPr>
      <w:r>
        <w:t xml:space="preserve">What to Take</w:t>
      </w:r>
    </w:p>
    <w:p>
      <w:pPr>
        <w:pStyle w:val="ListParagraph"/>
        <w:numPr>
          <w:ilvl w:val="0"/>
          <w:numId w:val="2"/>
        </w:numPr>
        <w:spacing w:after="100"/>
      </w:pPr>
      <w:r>
        <w:rPr>
          <w:b/>
          <w:bCs/>
        </w:rPr>
        <w:t xml:space="preserve">Service productization model: </w:t>
      </w:r>
      <w:r>
        <w:t xml:space="preserve">We should consider creating a branded “Roof Health Assessment” or similar low-friction entry product for residential. It creates an affordable entry point, ranks for “near me” queries, and feeds the sales pipeline with warm leads.</w:t>
      </w:r>
    </w:p>
    <w:p>
      <w:pPr>
        <w:pStyle w:val="ListParagraph"/>
        <w:numPr>
          <w:ilvl w:val="0"/>
          <w:numId w:val="2"/>
        </w:numPr>
        <w:spacing w:after="100"/>
      </w:pPr>
      <w:r>
        <w:rPr>
          <w:b/>
          <w:bCs/>
        </w:rPr>
        <w:t xml:space="preserve">Instant estimate concept: </w:t>
      </w:r>
      <w:r>
        <w:t xml:space="preserve">An interactive estimation tool is a high-conversion residential play. We’ll build it faster, lighter (&lt;100KB JS), and with green CWV.</w:t>
      </w:r>
    </w:p>
    <w:p>
      <w:pPr>
        <w:pStyle w:val="ListParagraph"/>
        <w:numPr>
          <w:ilvl w:val="0"/>
          <w:numId w:val="2"/>
        </w:numPr>
        <w:spacing w:after="100"/>
      </w:pPr>
      <w:r>
        <w:rPr>
          <w:b/>
          <w:bCs/>
        </w:rPr>
        <w:t xml:space="preserve">Blog-as-SEO-engine: </w:t>
      </w:r>
      <w:r>
        <w:t xml:space="preserve">The 100+ post archive is what drives their organic volume. Our editorial calendar needs this depth — it’s a Pass 2 deliverable but the architectural support for it ships in Pass 1.</w:t>
      </w:r>
    </w:p>
    <w:p>
      <w:r>
        <w:br w:type="page"/>
      </w:r>
    </w:p>
    <w:p>
      <w:pPr>
        <w:pStyle w:val="Heading2"/>
      </w:pPr>
      <w:r>
        <w:t xml:space="preserve">2.2 Apple Roofing — Structural Teardown</w:t>
      </w:r>
    </w:p>
    <w:p>
      <w:pPr>
        <w:pStyle w:val="Heading3"/>
      </w:pPr>
      <w:r>
        <w:t xml:space="preserve">Architecture</w:t>
      </w:r>
    </w:p>
    <w:p>
      <w:pPr>
        <w:spacing w:after="160"/>
      </w:pPr>
      <w:r>
        <w:t xml:space="preserve">434 pages. Multi-location, multi-service structure spanning residential roofing, commercial roofing, gutters, siding, and window replacement. 100+ city/region location pages. Material-specific pages for shingle, metal, wood shake, tile, and solar. URL structure is deep and well-organized.</w:t>
      </w:r>
    </w:p>
    <w:p>
      <w:pPr>
        <w:pStyle w:val="Heading3"/>
      </w:pPr>
      <w:r>
        <w:t xml:space="preserve">What’s Strong</w:t>
      </w:r>
    </w:p>
    <w:p>
      <w:pPr>
        <w:pStyle w:val="ListParagraph"/>
        <w:numPr>
          <w:ilvl w:val="0"/>
          <w:numId w:val="2"/>
        </w:numPr>
        <w:spacing w:after="100"/>
      </w:pPr>
      <w:r>
        <w:rPr>
          <w:b/>
          <w:bCs/>
        </w:rPr>
        <w:t xml:space="preserve">Keyword dominance: </w:t>
      </w:r>
      <w:r>
        <w:t xml:space="preserve">1,418 tracked keywords. Ranks #1 for “fix leaking roof,” #3 for “roof repair cost” (720 monthly traffic). They own the high-intent repair and cost keywords that convert residential homeowners. This is the keyword strategy we need to study and surpass.</w:t>
      </w:r>
    </w:p>
    <w:p>
      <w:pPr>
        <w:pStyle w:val="ListParagraph"/>
        <w:numPr>
          <w:ilvl w:val="0"/>
          <w:numId w:val="2"/>
        </w:numPr>
        <w:spacing w:after="100"/>
      </w:pPr>
      <w:r>
        <w:rPr>
          <w:b/>
          <w:bCs/>
        </w:rPr>
        <w:t xml:space="preserve">Hub-and-spoke internal linking: </w:t>
      </w:r>
      <w:r>
        <w:t xml:space="preserve">Highly centralized model — “Our Process” has 1,627 inlinks, “Schedule Free Inspection” has 1,353 inlinks. Every page on the site routes toward conversion. This isn’t accidental; it’s conversion architecture expressed through link structure.</w:t>
      </w:r>
    </w:p>
    <w:p>
      <w:pPr>
        <w:pStyle w:val="ListParagraph"/>
        <w:numPr>
          <w:ilvl w:val="0"/>
          <w:numId w:val="2"/>
        </w:numPr>
        <w:spacing w:after="100"/>
      </w:pPr>
      <w:r>
        <w:rPr>
          <w:b/>
          <w:bCs/>
        </w:rPr>
        <w:t xml:space="preserve">Material-first content strategy: </w:t>
      </w:r>
      <w:r>
        <w:t xml:space="preserve">Dedicated pages for each roofing material (shingle, metal, cedar shake, tile, solar) enables material-specific ranking. A homeowner searching “metal roof cost” lands on a page built specifically for that query, not a generic services page.</w:t>
      </w:r>
    </w:p>
    <w:p>
      <w:pPr>
        <w:pStyle w:val="ListParagraph"/>
        <w:numPr>
          <w:ilvl w:val="0"/>
          <w:numId w:val="2"/>
        </w:numPr>
        <w:spacing w:after="100"/>
      </w:pPr>
      <w:r>
        <w:rPr>
          <w:b/>
          <w:bCs/>
        </w:rPr>
        <w:t xml:space="preserve">Location page depth: </w:t>
      </w:r>
      <w:r>
        <w:t xml:space="preserve">100+ geo-specific pages (Sherman, Dallas, Big Lake MN, Kenosha, etc.) with local content. This is exactly the local SEO play we recommended in the Client Request Synthesis — Apple Roofing is already executing it at scale.</w:t>
      </w:r>
    </w:p>
    <w:p>
      <w:pPr>
        <w:pStyle w:val="ListParagraph"/>
        <w:numPr>
          <w:ilvl w:val="0"/>
          <w:numId w:val="2"/>
        </w:numPr>
        <w:spacing w:after="100"/>
      </w:pPr>
      <w:r>
        <w:rPr>
          <w:b/>
          <w:bCs/>
        </w:rPr>
        <w:t xml:space="preserve">FAQ schema: </w:t>
      </w:r>
      <w:r>
        <w:t xml:space="preserve">FAQ content with structured data markup earning rich snippets. This is the play we identified in our initial analysis — Apple proves it works in the roofing category.</w:t>
      </w:r>
    </w:p>
    <w:p>
      <w:pPr>
        <w:pStyle w:val="ListParagraph"/>
        <w:numPr>
          <w:ilvl w:val="0"/>
          <w:numId w:val="2"/>
        </w:numPr>
        <w:spacing w:after="100"/>
      </w:pPr>
      <w:r>
        <w:rPr>
          <w:b/>
          <w:bCs/>
        </w:rPr>
        <w:t xml:space="preserve">Free inspection CTA: </w:t>
      </w:r>
      <w:r>
        <w:t xml:space="preserve">“Schedule Free Inspection” is one of the most-linked pages on the entire site. The CTA is free, specific, and low-friction. It works because it matches the residential buyer’s mental model: “I don’t know what’s wrong with my roof — come look at it.”</w:t>
      </w:r>
    </w:p>
    <w:p>
      <w:pPr>
        <w:pStyle w:val="Heading3"/>
      </w:pPr>
      <w:r>
        <w:t xml:space="preserve">What’s Weak</w:t>
      </w:r>
    </w:p>
    <w:p>
      <w:pPr>
        <w:pStyle w:val="ListParagraph"/>
        <w:numPr>
          <w:ilvl w:val="0"/>
          <w:numId w:val="2"/>
        </w:numPr>
        <w:spacing w:after="100"/>
      </w:pPr>
      <w:r>
        <w:rPr>
          <w:b/>
          <w:bCs/>
        </w:rPr>
        <w:t xml:space="preserve">Commercial side is thin: </w:t>
      </w:r>
      <w:r>
        <w:t xml:space="preserve">Despite having commercial nav items, the commercial content lacks Supreme’s depth. No project case studies by vertical. The overall design feels residential-first. This isn’t a problem for Apple — it’s a problem we need to avoid. Pro Exteriors is 80% commercial and cannot afford a residential-first perception.</w:t>
      </w:r>
    </w:p>
    <w:p>
      <w:pPr>
        <w:pStyle w:val="ListParagraph"/>
        <w:numPr>
          <w:ilvl w:val="0"/>
          <w:numId w:val="2"/>
        </w:numPr>
        <w:spacing w:after="100"/>
      </w:pPr>
      <w:r>
        <w:rPr>
          <w:b/>
          <w:bCs/>
        </w:rPr>
        <w:t xml:space="preserve">Map implementation: </w:t>
      </w:r>
      <w:r>
        <w:t xml:space="preserve">FlaShopUSAMap canvas-based map with no keyboard navigation, no ARIA labels, and zero SEO value from the geographic content. We’ll build our SVG map accessible from the start.</w:t>
      </w:r>
    </w:p>
    <w:p>
      <w:pPr>
        <w:pStyle w:val="ListParagraph"/>
        <w:numPr>
          <w:ilvl w:val="0"/>
          <w:numId w:val="2"/>
        </w:numPr>
        <w:spacing w:after="100"/>
      </w:pPr>
      <w:r>
        <w:rPr>
          <w:b/>
          <w:bCs/>
        </w:rPr>
        <w:t xml:space="preserve">Design parity with AHC: </w:t>
      </w:r>
      <w:r>
        <w:t xml:space="preserve">Functional, not aspirational. The site works hard for SEO but doesn’t project the brand confidence that makes a homeowner feel they’re hiring the best. Same gap, same opportunity.</w:t>
      </w:r>
    </w:p>
    <w:p>
      <w:pPr>
        <w:pStyle w:val="Heading3"/>
      </w:pPr>
      <w:r>
        <w:t xml:space="preserve">What to Take</w:t>
      </w:r>
    </w:p>
    <w:p>
      <w:pPr>
        <w:pStyle w:val="ListParagraph"/>
        <w:numPr>
          <w:ilvl w:val="0"/>
          <w:numId w:val="2"/>
        </w:numPr>
        <w:spacing w:after="100"/>
      </w:pPr>
      <w:r>
        <w:rPr>
          <w:b/>
          <w:bCs/>
        </w:rPr>
        <w:t xml:space="preserve">Hub-and-spoke link architecture: </w:t>
      </w:r>
      <w:r>
        <w:t xml:space="preserve">Every page routes toward conversion. Our IA must encode this — service pages, location pages, blog posts all funnel toward the conversion endpoints.</w:t>
      </w:r>
    </w:p>
    <w:p>
      <w:pPr>
        <w:pStyle w:val="ListParagraph"/>
        <w:numPr>
          <w:ilvl w:val="0"/>
          <w:numId w:val="2"/>
        </w:numPr>
        <w:spacing w:after="100"/>
      </w:pPr>
      <w:r>
        <w:rPr>
          <w:b/>
          <w:bCs/>
        </w:rPr>
        <w:t xml:space="preserve">Material-specific pages: </w:t>
      </w:r>
      <w:r>
        <w:t xml:space="preserve">Residential homeowners search by material type. We need dedicated pages for each roofing material Pro Exteriors offers, each with schema markup, comparison content, and a CTA.</w:t>
      </w:r>
    </w:p>
    <w:p>
      <w:pPr>
        <w:pStyle w:val="ListParagraph"/>
        <w:numPr>
          <w:ilvl w:val="0"/>
          <w:numId w:val="2"/>
        </w:numPr>
        <w:spacing w:after="100"/>
      </w:pPr>
      <w:r>
        <w:rPr>
          <w:b/>
          <w:bCs/>
        </w:rPr>
        <w:t xml:space="preserve">Location page strategy at scale: </w:t>
      </w:r>
      <w:r>
        <w:t xml:space="preserve">100+ location pages is aggressive but effective. We’ll scope location pages for every market Pro Exteriors serves (Richardson, Euless, Wichita, Denver, Valdosta, plus surrounding cities).</w:t>
      </w:r>
    </w:p>
    <w:p>
      <w:pPr>
        <w:pStyle w:val="ListParagraph"/>
        <w:numPr>
          <w:ilvl w:val="0"/>
          <w:numId w:val="2"/>
        </w:numPr>
        <w:spacing w:after="100"/>
      </w:pPr>
      <w:r>
        <w:rPr>
          <w:b/>
          <w:bCs/>
        </w:rPr>
        <w:t xml:space="preserve">Free inspection as primary residential CTA: </w:t>
      </w:r>
      <w:r>
        <w:t xml:space="preserve">“Schedule a Free Inspection” outperforms “Get a Quote” for residential because it’s lower commitment and matches the buyer’s mental state. We adopt this.</w:t>
      </w:r>
    </w:p>
    <w:p>
      <w:r>
        <w:br w:type="page"/>
      </w:r>
    </w:p>
    <w:p>
      <w:pPr>
        <w:pStyle w:val="Heading2"/>
      </w:pPr>
      <w:r>
        <w:t xml:space="preserve">2.3 The Competitive Intelligence Summary</w:t>
      </w:r>
    </w:p>
    <w:p>
      <w:pPr>
        <w:spacing w:after="160"/>
      </w:pPr>
      <w:r>
        <w:t xml:space="preserve">Here’s what the residential reference analysis tells us about where Pro Exteriors needs to 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3360"/>
      </w:tblGrid>
      <w:tr>
        <w:tc>
          <w:tcPr>
            <w:tcW w:type="dxa" w:w="180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Dimension</w:t>
            </w:r>
          </w:p>
        </w:tc>
        <w:tc>
          <w:tcPr>
            <w:tcW w:type="dxa" w:w="210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American Home Contractors</w:t>
            </w:r>
          </w:p>
        </w:tc>
        <w:tc>
          <w:tcPr>
            <w:tcW w:type="dxa" w:w="210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Apple Roofing</w:t>
            </w:r>
          </w:p>
        </w:tc>
        <w:tc>
          <w:tcPr>
            <w:tcW w:type="dxa" w:w="336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 Exteriors Target</w:t>
            </w:r>
          </w:p>
        </w:tc>
      </w:tr>
      <w:tr>
        <w:tc>
          <w:tcPr>
            <w:tcW w:type="dxa" w:w="18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Pages</w:t>
            </w:r>
          </w:p>
        </w:tc>
        <w:tc>
          <w:tcPr>
            <w:tcW w:type="dxa" w:w="21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197</w:t>
            </w:r>
          </w:p>
        </w:tc>
        <w:tc>
          <w:tcPr>
            <w:tcW w:type="dxa" w:w="21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434</w:t>
            </w:r>
          </w:p>
        </w:tc>
        <w:tc>
          <w:tcPr>
            <w:tcW w:type="dxa" w:w="33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300+ at launch, 500+ Year 1</w:t>
            </w:r>
          </w:p>
        </w:tc>
      </w:tr>
      <w:tr>
        <w:tc>
          <w:tcPr>
            <w:tcW w:type="dxa" w:w="18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Tracked Keywords</w:t>
            </w:r>
          </w:p>
        </w:tc>
        <w:tc>
          <w:tcPr>
            <w:tcW w:type="dxa" w:w="21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709</w:t>
            </w:r>
          </w:p>
        </w:tc>
        <w:tc>
          <w:tcPr>
            <w:tcW w:type="dxa" w:w="21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1,418</w:t>
            </w:r>
          </w:p>
        </w:tc>
        <w:tc>
          <w:tcPr>
            <w:tcW w:type="dxa" w:w="33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2,000+ Year 1</w:t>
            </w:r>
          </w:p>
        </w:tc>
      </w:tr>
      <w:tr>
        <w:tc>
          <w:tcPr>
            <w:tcW w:type="dxa" w:w="18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Location Pages</w:t>
            </w:r>
          </w:p>
        </w:tc>
        <w:tc>
          <w:tcPr>
            <w:tcW w:type="dxa" w:w="21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~10 (MD/VA only)</w:t>
            </w:r>
          </w:p>
        </w:tc>
        <w:tc>
          <w:tcPr>
            <w:tcW w:type="dxa" w:w="21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100+</w:t>
            </w:r>
          </w:p>
        </w:tc>
        <w:tc>
          <w:tcPr>
            <w:tcW w:type="dxa" w:w="33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50+ across 5 states</w:t>
            </w:r>
          </w:p>
        </w:tc>
      </w:tr>
      <w:tr>
        <w:tc>
          <w:tcPr>
            <w:tcW w:type="dxa" w:w="18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Blog Posts</w:t>
            </w:r>
          </w:p>
        </w:tc>
        <w:tc>
          <w:tcPr>
            <w:tcW w:type="dxa" w:w="21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100+</w:t>
            </w:r>
          </w:p>
        </w:tc>
        <w:tc>
          <w:tcPr>
            <w:tcW w:type="dxa" w:w="21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Limited</w:t>
            </w:r>
          </w:p>
        </w:tc>
        <w:tc>
          <w:tcPr>
            <w:tcW w:type="dxa" w:w="33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120 Year 1 (10/month)</w:t>
            </w:r>
          </w:p>
        </w:tc>
      </w:tr>
      <w:tr>
        <w:tc>
          <w:tcPr>
            <w:tcW w:type="dxa" w:w="18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PageSpeed (Mobile)</w:t>
            </w:r>
          </w:p>
        </w:tc>
        <w:tc>
          <w:tcPr>
            <w:tcW w:type="dxa" w:w="21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~75–85</w:t>
            </w:r>
          </w:p>
        </w:tc>
        <w:tc>
          <w:tcPr>
            <w:tcW w:type="dxa" w:w="21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Good (no red flags)</w:t>
            </w:r>
          </w:p>
        </w:tc>
        <w:tc>
          <w:tcPr>
            <w:tcW w:type="dxa" w:w="33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95+ (Quad-100 target)</w:t>
            </w:r>
          </w:p>
        </w:tc>
      </w:tr>
      <w:tr>
        <w:tc>
          <w:tcPr>
            <w:tcW w:type="dxa" w:w="18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Core Web Vitals</w:t>
            </w:r>
          </w:p>
        </w:tc>
        <w:tc>
          <w:tcPr>
            <w:tcW w:type="dxa" w:w="21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Partial pass</w:t>
            </w:r>
          </w:p>
        </w:tc>
        <w:tc>
          <w:tcPr>
            <w:tcW w:type="dxa" w:w="21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Pass</w:t>
            </w:r>
          </w:p>
        </w:tc>
        <w:tc>
          <w:tcPr>
            <w:tcW w:type="dxa" w:w="33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Full green</w:t>
            </w:r>
          </w:p>
        </w:tc>
      </w:tr>
      <w:tr>
        <w:tc>
          <w:tcPr>
            <w:tcW w:type="dxa" w:w="18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Schema Markup</w:t>
            </w:r>
          </w:p>
        </w:tc>
        <w:tc>
          <w:tcPr>
            <w:tcW w:type="dxa" w:w="21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Limited</w:t>
            </w:r>
          </w:p>
        </w:tc>
        <w:tc>
          <w:tcPr>
            <w:tcW w:type="dxa" w:w="21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FAQ + Local</w:t>
            </w:r>
          </w:p>
        </w:tc>
        <w:tc>
          <w:tcPr>
            <w:tcW w:type="dxa" w:w="33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FAQ + Local + Service + Review + Organization</w:t>
            </w:r>
          </w:p>
        </w:tc>
      </w:tr>
      <w:tr>
        <w:tc>
          <w:tcPr>
            <w:tcW w:type="dxa" w:w="18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Primary Residential CTA</w:t>
            </w:r>
          </w:p>
        </w:tc>
        <w:tc>
          <w:tcPr>
            <w:tcW w:type="dxa" w:w="21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Instant Estimate</w:t>
            </w:r>
          </w:p>
        </w:tc>
        <w:tc>
          <w:tcPr>
            <w:tcW w:type="dxa" w:w="21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Free Inspection</w:t>
            </w:r>
          </w:p>
        </w:tc>
        <w:tc>
          <w:tcPr>
            <w:tcW w:type="dxa" w:w="33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Free Inspection + Instant Estimate</w:t>
            </w:r>
          </w:p>
        </w:tc>
      </w:tr>
      <w:tr>
        <w:tc>
          <w:tcPr>
            <w:tcW w:type="dxa" w:w="18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Design Quality</w:t>
            </w:r>
          </w:p>
        </w:tc>
        <w:tc>
          <w:tcPr>
            <w:tcW w:type="dxa" w:w="21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Functional</w:t>
            </w:r>
          </w:p>
        </w:tc>
        <w:tc>
          <w:tcPr>
            <w:tcW w:type="dxa" w:w="21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Functional</w:t>
            </w:r>
          </w:p>
        </w:tc>
        <w:tc>
          <w:tcPr>
            <w:tcW w:type="dxa" w:w="33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Award-caliber</w:t>
            </w:r>
          </w:p>
        </w:tc>
      </w:tr>
      <w:tr>
        <w:tc>
          <w:tcPr>
            <w:tcW w:type="dxa" w:w="18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b/>
                <w:bCs/>
                <w:sz w:val="20"/>
                <w:szCs w:val="20"/>
              </w:rPr>
              <w:t xml:space="preserve">Conversion Architecture</w:t>
            </w:r>
          </w:p>
        </w:tc>
        <w:tc>
          <w:tcPr>
            <w:tcW w:type="dxa" w:w="21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Strong (productized)</w:t>
            </w:r>
          </w:p>
        </w:tc>
        <w:tc>
          <w:tcPr>
            <w:tcW w:type="dxa" w:w="21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Strong (hub-and-spoke)</w:t>
            </w:r>
          </w:p>
        </w:tc>
        <w:tc>
          <w:tcPr>
            <w:tcW w:type="dxa" w:w="33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b/>
                <w:bCs/>
                <w:sz w:val="20"/>
                <w:szCs w:val="20"/>
              </w:rPr>
              <w:t xml:space="preserve">Best of both + measurement</w:t>
            </w:r>
          </w:p>
        </w:tc>
      </w:tr>
    </w:tbl>
    <w:p>
      <w:r>
        <w:br w:type="page"/>
      </w:r>
    </w:p>
    <w:p>
      <w:pPr>
        <w:pStyle w:val="Heading1"/>
      </w:pPr>
      <w:r>
        <w:t xml:space="preserve">3. Competitive Positioning</w:t>
      </w:r>
    </w:p>
    <w:p>
      <w:pPr>
        <w:spacing w:after="160"/>
      </w:pPr>
      <w:r>
        <w:t xml:space="preserve">The full competitive landscape analysis covering 10 commercial + residential competitors is documented in the Competitive &amp; Structural Analysis Report (April 12, 2026). This section distills the positioning strategy that emerges from that analysis plus the two residential reference teardowns above.</w:t>
      </w:r>
    </w:p>
    <w:p>
      <w:pPr>
        <w:pStyle w:val="Heading2"/>
      </w:pPr>
      <w:r>
        <w:t xml:space="preserve">3.1 The Lane</w:t>
      </w:r>
    </w:p>
    <w:p>
      <w:pPr>
        <w:spacing w:after="160"/>
      </w:pPr>
      <w:r>
        <w:t xml:space="preserve">Every competitor in the dataset either has strong content with terrible performance, or strong performance with thin content. Nobody has both. Nobody is accessible. Nobody measures systematically. That’s the lane.</w:t>
      </w:r>
    </w:p>
    <w:p>
      <w:pPr>
        <w:pBdr>
          <w:left w:val="single" w:color="EAA221" w:sz="12" w:space="8"/>
        </w:pBdr>
        <w:spacing w:after="160" w:before="160"/>
        <w:ind w:left="360"/>
      </w:pPr>
      <w:r>
        <w:rPr>
          <w:i/>
          <w:iCs/>
          <w:color w:val="13294B"/>
          <w:sz w:val="21"/>
          <w:szCs w:val="21"/>
        </w:rPr>
        <w:t xml:space="preserve">Pro Exteriors will be the first roofing company in its competitive set to simultaneously deliver the fastest site, the deepest content, the best accessibility, and the most rigorous measurement program. That’s not a slogan — it’s the architectural decision that this brief enforces.</w:t>
      </w:r>
    </w:p>
    <w:p>
      <w:pPr>
        <w:pStyle w:val="Heading2"/>
      </w:pPr>
      <w:r>
        <w:t xml:space="preserve">3.2 Exploitable Gaps</w:t>
      </w:r>
    </w:p>
    <w:p>
      <w:pPr>
        <w:pStyle w:val="ListParagraph"/>
        <w:numPr>
          <w:ilvl w:val="0"/>
          <w:numId w:val="2"/>
        </w:numPr>
        <w:spacing w:after="100"/>
      </w:pPr>
      <w:r>
        <w:rPr>
          <w:b/>
          <w:bCs/>
        </w:rPr>
        <w:t xml:space="preserve">Local/hyperlocal intent is wide open. </w:t>
      </w:r>
      <w:r>
        <w:t xml:space="preserve">No competitor dominates “commercial roofing [city]” in Pro Exteriors’ specific markets. City-specific landing pages with local schema will face minimal organic resistance.</w:t>
      </w:r>
    </w:p>
    <w:p>
      <w:pPr>
        <w:pStyle w:val="ListParagraph"/>
        <w:numPr>
          <w:ilvl w:val="0"/>
          <w:numId w:val="2"/>
        </w:numPr>
        <w:spacing w:after="100"/>
      </w:pPr>
      <w:r>
        <w:rPr>
          <w:b/>
          <w:bCs/>
        </w:rPr>
        <w:t xml:space="preserve">Residential repair content is fragmented. </w:t>
      </w:r>
      <w:r>
        <w:t xml:space="preserve">“Roof repair near me,” “emergency roof repair,” and seasonal maintenance keywords have weak ownership across the set. Apple Roofing is the strongest player, but they’re not in Pro Exteriors’ service geos.</w:t>
      </w:r>
    </w:p>
    <w:p>
      <w:pPr>
        <w:pStyle w:val="ListParagraph"/>
        <w:numPr>
          <w:ilvl w:val="0"/>
          <w:numId w:val="2"/>
        </w:numPr>
        <w:spacing w:after="100"/>
      </w:pPr>
      <w:r>
        <w:rPr>
          <w:b/>
          <w:bCs/>
        </w:rPr>
        <w:t xml:space="preserve">Pricing/comparison content is untouched. </w:t>
      </w:r>
      <w:r>
        <w:t xml:space="preserve">No competitor ranks for “roofing costs,” “roof replacement cost,” or “roofing warranty comparison.” These are high-intent, conversion-proximate keywords.</w:t>
      </w:r>
    </w:p>
    <w:p>
      <w:pPr>
        <w:pStyle w:val="ListParagraph"/>
        <w:numPr>
          <w:ilvl w:val="0"/>
          <w:numId w:val="2"/>
        </w:numPr>
        <w:spacing w:after="100"/>
      </w:pPr>
      <w:r>
        <w:rPr>
          <w:b/>
          <w:bCs/>
        </w:rPr>
        <w:t xml:space="preserve">Performance is universally bad. </w:t>
      </w:r>
      <w:r>
        <w:t xml:space="preserve">Supreme: 35/100. AHC: 75–85 with CLS issues. Most competitors in the 40–60 range. A green Core Web Vitals site is an immediate ranking advantage per Google’s Page Experience signals.</w:t>
      </w:r>
    </w:p>
    <w:p>
      <w:pPr>
        <w:pStyle w:val="ListParagraph"/>
        <w:numPr>
          <w:ilvl w:val="0"/>
          <w:numId w:val="2"/>
        </w:numPr>
        <w:spacing w:after="100"/>
      </w:pPr>
      <w:r>
        <w:rPr>
          <w:b/>
          <w:bCs/>
        </w:rPr>
        <w:t xml:space="preserve">Case studies are rare outside Supreme. </w:t>
      </w:r>
      <w:r>
        <w:t xml:space="preserve">Most competitors have thin or no portfolio pages. A rich, filterable case study library is a moat for both commercial and residential conversion.</w:t>
      </w:r>
    </w:p>
    <w:p>
      <w:pPr>
        <w:pStyle w:val="ListParagraph"/>
        <w:numPr>
          <w:ilvl w:val="0"/>
          <w:numId w:val="2"/>
        </w:numPr>
        <w:spacing w:after="100"/>
      </w:pPr>
      <w:r>
        <w:rPr>
          <w:b/>
          <w:bCs/>
        </w:rPr>
        <w:t xml:space="preserve">Accessibility is an afterthought everywhere. </w:t>
      </w:r>
      <w:r>
        <w:t xml:space="preserve">Canvas-based maps without ARIA labels, contrast failures, no keyboard navigation. WCAG 2.2 AA compliance is both a legal shield and a conversion advantage for the older residential demographic.</w:t>
      </w:r>
    </w:p>
    <w:p>
      <w:pPr>
        <w:pStyle w:val="Heading2"/>
      </w:pPr>
      <w:r>
        <w:t xml:space="preserve">3.3 What Award-Winning Looks Like in This Category</w:t>
      </w:r>
    </w:p>
    <w:p>
      <w:pPr>
        <w:spacing w:after="160"/>
      </w:pPr>
      <w:r>
        <w:t xml:space="preserve">To be clear about the bar: an award-winning roofing website in 2026 isn’t a site with parallax scrolling and animated SVG illustrations. Award juries (Awwwards, FWA, Webby, Communication Arts) evaluate craft, usability, performance, and whether the design serves the business objective. In the roofing category, an award-winning site is one that:</w:t>
      </w:r>
    </w:p>
    <w:p>
      <w:pPr>
        <w:pStyle w:val="ListParagraph"/>
        <w:numPr>
          <w:ilvl w:val="0"/>
          <w:numId w:val="2"/>
        </w:numPr>
        <w:spacing w:after="100"/>
      </w:pPr>
      <w:r>
        <w:t xml:space="preserve">Makes a $15K decision feel safe and guided, not overwhelming</w:t>
      </w:r>
    </w:p>
    <w:p>
      <w:pPr>
        <w:pStyle w:val="ListParagraph"/>
        <w:numPr>
          <w:ilvl w:val="0"/>
          <w:numId w:val="2"/>
        </w:numPr>
        <w:spacing w:after="100"/>
      </w:pPr>
      <w:r>
        <w:t xml:space="preserve">Loads in under 2 seconds on a mid-range phone over 4G</w:t>
      </w:r>
    </w:p>
    <w:p>
      <w:pPr>
        <w:pStyle w:val="ListParagraph"/>
        <w:numPr>
          <w:ilvl w:val="0"/>
          <w:numId w:val="2"/>
        </w:numPr>
        <w:spacing w:after="100"/>
      </w:pPr>
      <w:r>
        <w:t xml:space="preserve">Routes two completely different audiences without friction</w:t>
      </w:r>
    </w:p>
    <w:p>
      <w:pPr>
        <w:pStyle w:val="ListParagraph"/>
        <w:numPr>
          <w:ilvl w:val="0"/>
          <w:numId w:val="2"/>
        </w:numPr>
        <w:spacing w:after="100"/>
      </w:pPr>
      <w:r>
        <w:t xml:space="preserve">Uses real photography of real crews on real jobs, not stock</w:t>
      </w:r>
    </w:p>
    <w:p>
      <w:pPr>
        <w:pStyle w:val="ListParagraph"/>
        <w:numPr>
          <w:ilvl w:val="0"/>
          <w:numId w:val="2"/>
        </w:numPr>
        <w:spacing w:after="100"/>
      </w:pPr>
      <w:r>
        <w:t xml:space="preserve">Proves every claim with verifiable evidence (certifications, reviews, case studies)</w:t>
      </w:r>
    </w:p>
    <w:p>
      <w:pPr>
        <w:pStyle w:val="ListParagraph"/>
        <w:numPr>
          <w:ilvl w:val="0"/>
          <w:numId w:val="2"/>
        </w:numPr>
        <w:spacing w:after="100"/>
      </w:pPr>
      <w:r>
        <w:t xml:space="preserve">Treats accessibility as a design feature, not a compliance checklist</w:t>
      </w:r>
    </w:p>
    <w:p>
      <w:pPr>
        <w:pStyle w:val="ListParagraph"/>
        <w:numPr>
          <w:ilvl w:val="0"/>
          <w:numId w:val="2"/>
        </w:numPr>
        <w:spacing w:after="100"/>
      </w:pPr>
      <w:r>
        <w:t xml:space="preserve">Measures everything and improves continuously</w:t>
      </w:r>
    </w:p>
    <w:p>
      <w:pPr>
        <w:spacing w:after="160"/>
      </w:pPr>
      <w:r>
        <w:t xml:space="preserve">The competitors aren’t doing any of this. That’s why the opportunity is as large as it is.</w:t>
      </w:r>
    </w:p>
    <w:p>
      <w:r>
        <w:br w:type="page"/>
      </w:r>
    </w:p>
    <w:p>
      <w:pPr>
        <w:pStyle w:val="Heading1"/>
      </w:pPr>
      <w:r>
        <w:t xml:space="preserve">4. Brand Expression Direction</w:t>
      </w:r>
    </w:p>
    <w:p>
      <w:pPr>
        <w:spacing w:after="160"/>
      </w:pPr>
      <w:r>
        <w:t xml:space="preserve">This section establishes the strategic intent for how Pro Exteriors looks, sounds, and feels across digital surfaces. Execution-level specs (token values, component anatomy, kern tables) live in the Design System — this section sets the why.</w:t>
      </w:r>
    </w:p>
    <w:p>
      <w:pPr>
        <w:pStyle w:val="Heading2"/>
      </w:pPr>
      <w:r>
        <w:t xml:space="preserve">4.1 Color System (Complete)</w:t>
      </w:r>
    </w:p>
    <w:p>
      <w:pPr>
        <w:spacing w:after="160"/>
      </w:pPr>
      <w:r>
        <w:t xml:space="preserve">The color system has been fully developed, Pantone-matched, CIE Delta-E 2000 validated, and tokenized. It is the first complete artifact of the engagement and the foundation every other visual decision builds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500"/>
        <w:gridCol w:w="1200"/>
        <w:gridCol w:w="3460"/>
      </w:tblGrid>
      <w:tr>
        <w:tc>
          <w:tcPr>
            <w:tcW w:type="dxa" w:w="160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Color</w:t>
            </w:r>
          </w:p>
        </w:tc>
        <w:tc>
          <w:tcPr>
            <w:tcW w:type="dxa" w:w="160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150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Pantone Coated</w:t>
            </w:r>
          </w:p>
        </w:tc>
        <w:tc>
          <w:tcPr>
            <w:tcW w:type="dxa" w:w="120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HEX</w:t>
            </w:r>
          </w:p>
        </w:tc>
        <w:tc>
          <w:tcPr>
            <w:tcW w:type="dxa" w:w="346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Primary Use</w:t>
            </w:r>
          </w:p>
        </w:tc>
      </w:tr>
      <w:tr>
        <w:tc>
          <w:tcPr>
            <w:tcW w:type="dxa" w:w="1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Prussian Blue</w:t>
            </w:r>
          </w:p>
        </w:tc>
        <w:tc>
          <w:tcPr>
            <w:tcW w:type="dxa" w:w="1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Primary Anchor</w:t>
            </w:r>
          </w:p>
        </w:tc>
        <w:tc>
          <w:tcPr>
            <w:tcW w:type="dxa" w:w="15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2767 C</w:t>
            </w:r>
          </w:p>
        </w:tc>
        <w:tc>
          <w:tcPr>
            <w:tcW w:type="dxa" w:w="12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#13294B</w:t>
            </w:r>
          </w:p>
        </w:tc>
        <w:tc>
          <w:tcPr>
            <w:tcW w:type="dxa" w:w="34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Headers, footers, primary text, navy sections</w:t>
            </w:r>
          </w:p>
        </w:tc>
      </w:tr>
      <w:tr>
        <w:tc>
          <w:tcPr>
            <w:tcW w:type="dxa" w:w="1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Brown Red</w:t>
            </w:r>
          </w:p>
        </w:tc>
        <w:tc>
          <w:tcPr>
            <w:tcW w:type="dxa" w:w="1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Secondary</w:t>
            </w:r>
          </w:p>
        </w:tc>
        <w:tc>
          <w:tcPr>
            <w:tcW w:type="dxa" w:w="15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7621 C</w:t>
            </w:r>
          </w:p>
        </w:tc>
        <w:tc>
          <w:tcPr>
            <w:tcW w:type="dxa" w:w="12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#A33327</w:t>
            </w:r>
          </w:p>
        </w:tc>
        <w:tc>
          <w:tcPr>
            <w:tcW w:type="dxa" w:w="34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Accent, urgency signals, error states</w:t>
            </w:r>
          </w:p>
        </w:tc>
      </w:tr>
      <w:tr>
        <w:tc>
          <w:tcPr>
            <w:tcW w:type="dxa" w:w="1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Golden Orange</w:t>
            </w:r>
          </w:p>
        </w:tc>
        <w:tc>
          <w:tcPr>
            <w:tcW w:type="dxa" w:w="1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CTA / Accent</w:t>
            </w:r>
          </w:p>
        </w:tc>
        <w:tc>
          <w:tcPr>
            <w:tcW w:type="dxa" w:w="15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7409 C</w:t>
            </w:r>
          </w:p>
        </w:tc>
        <w:tc>
          <w:tcPr>
            <w:tcW w:type="dxa" w:w="12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#EAA221</w:t>
            </w:r>
          </w:p>
        </w:tc>
        <w:tc>
          <w:tcPr>
            <w:tcW w:type="dxa" w:w="34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All primary CTAs, highlights, trust badges</w:t>
            </w:r>
          </w:p>
        </w:tc>
      </w:tr>
      <w:tr>
        <w:tc>
          <w:tcPr>
            <w:tcW w:type="dxa" w:w="1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color w:val="3B6B4C"/>
                <w:sz w:val="20"/>
                <w:szCs w:val="20"/>
              </w:rPr>
              <w:t xml:space="preserve">Hunter Green</w:t>
            </w:r>
          </w:p>
        </w:tc>
        <w:tc>
          <w:tcPr>
            <w:tcW w:type="dxa" w:w="1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Trust / Secondary</w:t>
            </w:r>
          </w:p>
        </w:tc>
        <w:tc>
          <w:tcPr>
            <w:tcW w:type="dxa" w:w="15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7734 C</w:t>
            </w:r>
          </w:p>
        </w:tc>
        <w:tc>
          <w:tcPr>
            <w:tcW w:type="dxa" w:w="12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#3B6B4C</w:t>
            </w:r>
          </w:p>
        </w:tc>
        <w:tc>
          <w:tcPr>
            <w:tcW w:type="dxa" w:w="34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Certifications, warranties, environmental</w:t>
            </w:r>
          </w:p>
        </w:tc>
      </w:tr>
      <w:tr>
        <w:tc>
          <w:tcPr>
            <w:tcW w:type="dxa" w:w="1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color w:val="0066CC"/>
                <w:sz w:val="20"/>
                <w:szCs w:val="20"/>
              </w:rPr>
              <w:t xml:space="preserve">Smart Blue</w:t>
            </w:r>
          </w:p>
        </w:tc>
        <w:tc>
          <w:tcPr>
            <w:tcW w:type="dxa" w:w="1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Interactive</w:t>
            </w:r>
          </w:p>
        </w:tc>
        <w:tc>
          <w:tcPr>
            <w:tcW w:type="dxa" w:w="15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2174 C</w:t>
            </w:r>
          </w:p>
        </w:tc>
        <w:tc>
          <w:tcPr>
            <w:tcW w:type="dxa" w:w="12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#0066CC</w:t>
            </w:r>
          </w:p>
        </w:tc>
        <w:tc>
          <w:tcPr>
            <w:tcW w:type="dxa" w:w="34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Links, focus rings, interactive elements</w:t>
            </w:r>
          </w:p>
        </w:tc>
      </w:tr>
    </w:tbl>
    <w:p>
      <w:pPr>
        <w:spacing w:before="120"/>
      </w:pPr>
    </w:p>
    <w:p>
      <w:pPr>
        <w:spacing w:after="160"/>
      </w:pPr>
      <w:r>
        <w:rPr>
          <w:b/>
          <w:bCs/>
        </w:rPr>
        <w:t xml:space="preserve">Deliverables complete: </w:t>
      </w:r>
      <w:r>
        <w:t xml:space="preserve">CSS custom properties with full tint/shade scales (50–950), SCSS variables, Tailwind config, semantic aliases, Pantone vendor reference card, interactive HTML color reference, print-ready color PDF.</w:t>
      </w:r>
    </w:p>
    <w:p>
      <w:pPr>
        <w:spacing w:after="160"/>
      </w:pPr>
      <w:r>
        <w:rPr>
          <w:b/>
          <w:bCs/>
        </w:rPr>
        <w:t xml:space="preserve">Application grammar: </w:t>
      </w:r>
      <w:r>
        <w:t xml:space="preserve">Defined in the Design System Plan — 60/30/10 distribution (60% white/tints, 30% navy, 10% gold/red accents), pre-approved WCAG contrast pairings, banned pairings (gold on white, green on navy, red on navy), and saturation rules.</w:t>
      </w:r>
    </w:p>
    <w:p>
      <w:pPr>
        <w:pStyle w:val="Heading2"/>
      </w:pPr>
      <w:r>
        <w:t xml:space="preserve">4.2 Color-as-Navigation</w:t>
      </w:r>
    </w:p>
    <w:p>
      <w:pPr>
        <w:spacing w:after="160"/>
      </w:pPr>
      <w:r>
        <w:t xml:space="preserve">Color is a wayfinding system, not decoration. The brief establishes two color worlds that help both audiences orient instantly:</w:t>
      </w:r>
    </w:p>
    <w:p>
      <w:pPr>
        <w:pStyle w:val="ListParagraph"/>
        <w:numPr>
          <w:ilvl w:val="0"/>
          <w:numId w:val="2"/>
        </w:numPr>
        <w:spacing w:after="100"/>
      </w:pPr>
      <w:r>
        <w:rPr>
          <w:b/>
          <w:bCs/>
        </w:rPr>
        <w:t xml:space="preserve">Commercial color world: </w:t>
      </w:r>
      <w:r>
        <w:t xml:space="preserve">Prussian Blue dominant. Navy sections, white text, gold CTAs. Projects authority, institutional credibility, and scale. The commercial prospect should feel like they’re engaging with a Fortune 500 vendor, not a local contractor.</w:t>
      </w:r>
    </w:p>
    <w:p>
      <w:pPr>
        <w:pStyle w:val="ListParagraph"/>
        <w:numPr>
          <w:ilvl w:val="0"/>
          <w:numId w:val="2"/>
        </w:numPr>
        <w:spacing w:after="100"/>
      </w:pPr>
      <w:r>
        <w:rPr>
          <w:b/>
          <w:bCs/>
        </w:rPr>
        <w:t xml:space="preserve">Residential color world: </w:t>
      </w:r>
      <w:r>
        <w:t xml:space="preserve">Warmer palette. White/light backgrounds, navy text, gold CTAs, green trust signals. More breathing room, more photography, softer visual density. The homeowner should feel guided and reassured, not overwhelmed by institutional language.</w:t>
      </w:r>
    </w:p>
    <w:p>
      <w:pPr>
        <w:spacing w:after="160"/>
      </w:pPr>
      <w:r>
        <w:t xml:space="preserve">Both worlds share the same brand — same logo, same gold CTA color, same typography. The distinction is in proportion and density, not in separate identities.</w:t>
      </w:r>
    </w:p>
    <w:p>
      <w:pPr>
        <w:pStyle w:val="Heading2"/>
      </w:pPr>
      <w:r>
        <w:t xml:space="preserve">4.3 Typography Philosophy</w:t>
      </w:r>
    </w:p>
    <w:p>
      <w:pPr>
        <w:spacing w:after="160"/>
      </w:pPr>
      <w:r>
        <w:rPr>
          <w:b/>
          <w:bCs/>
        </w:rPr>
        <w:t xml:space="preserve">Status: </w:t>
      </w:r>
      <w:r>
        <w:t xml:space="preserve">Type selection is a design-phase deliverable. The Design System Plan defines the evaluation framework (competitor audit → long-list → specimen test → render test → select), the type scale (Major Third / 1.250 ratio), line-height tokens, letter-spacing tokens, and the font loading strategy (critical subset inline, full variable font preload, 80KB budget).</w:t>
      </w:r>
    </w:p>
    <w:p>
      <w:pPr>
        <w:spacing w:after="160"/>
      </w:pPr>
      <w:r>
        <w:rPr>
          <w:b/>
          <w:bCs/>
        </w:rPr>
        <w:t xml:space="preserve">Strategic intent: </w:t>
      </w:r>
      <w:r>
        <w:t xml:space="preserve">The typeface must create instant brand distance from the competitive set. Every competitor in the crawl data uses Roboto, Open Sans, or Montserrat. Pro Exteriors’ type should register as “higher quality” within the first second of page load — without feeling unfamiliar or precious.</w:t>
      </w:r>
    </w:p>
    <w:p>
      <w:pPr>
        <w:spacing w:after="160"/>
      </w:pPr>
      <w:r>
        <w:rPr>
          <w:b/>
          <w:bCs/>
        </w:rPr>
        <w:t xml:space="preserve">Performance constraint: </w:t>
      </w:r>
      <w:r>
        <w:t xml:space="preserve">Maximum four font files on initial load. Variable fonts preferred. Total font payload ≤ 80KB compressed. Any typeface that can’t meet this budget is disqualified regardless of how beautiful it is.</w:t>
      </w:r>
    </w:p>
    <w:p>
      <w:pPr>
        <w:spacing w:after="160"/>
      </w:pPr>
      <w:r>
        <w:rPr>
          <w:b/>
          <w:bCs/>
        </w:rPr>
        <w:t xml:space="preserve">Accessibility constraint: </w:t>
      </w:r>
      <w:r>
        <w:t xml:space="preserve">Minimum body size 16px (1rem). Small text (captions, metadata) minimum 14px. Type must maintain legibility on a mid-range Android in direct sunlight. The residential audience skews older — this isn’t optional.</w:t>
      </w:r>
    </w:p>
    <w:p>
      <w:pPr>
        <w:pStyle w:val="Heading2"/>
      </w:pPr>
      <w:r>
        <w:t xml:space="preserve">4.4 Photography Direction</w:t>
      </w:r>
    </w:p>
    <w:p>
      <w:pPr>
        <w:spacing w:after="160"/>
      </w:pPr>
      <w:r>
        <w:rPr>
          <w:b/>
          <w:bCs/>
        </w:rPr>
        <w:t xml:space="preserve">The rule: </w:t>
      </w:r>
      <w:r>
        <w:t xml:space="preserve">Real crews, real jobs, real equipment, real results. No stock photography, ever. If we don’t have a real photo for something, we leave the space empty and flag it as an asset gap rather than fill it with a stock image that undermines trust.</w:t>
      </w:r>
    </w:p>
    <w:p>
      <w:pPr>
        <w:spacing w:after="160"/>
      </w:pPr>
      <w:r>
        <w:t xml:space="preserve">The current asset inventory includes the Texas Motor Speedway video (a category-defining proof point), manufacturer certification logos (12+), and at least one project photo. The gaps are significant:</w:t>
      </w:r>
    </w:p>
    <w:p>
      <w:pPr>
        <w:pStyle w:val="ListParagraph"/>
        <w:numPr>
          <w:ilvl w:val="0"/>
          <w:numId w:val="2"/>
        </w:numPr>
        <w:spacing w:after="100"/>
      </w:pPr>
      <w:r>
        <w:rPr>
          <w:b/>
          <w:bCs/>
        </w:rPr>
        <w:t xml:space="preserve">Residential photography: </w:t>
      </w:r>
      <w:r>
        <w:t xml:space="preserve">Zero residential project images on file. This is the single biggest asset gap for the residential side of the site. We cannot design a residential proof system without residential proof.</w:t>
      </w:r>
    </w:p>
    <w:p>
      <w:pPr>
        <w:pStyle w:val="ListParagraph"/>
        <w:numPr>
          <w:ilvl w:val="0"/>
          <w:numId w:val="2"/>
        </w:numPr>
        <w:spacing w:after="100"/>
      </w:pPr>
      <w:r>
        <w:rPr>
          <w:b/>
          <w:bCs/>
        </w:rPr>
        <w:t xml:space="preserve">Team/leadership headshots: </w:t>
      </w:r>
      <w:r>
        <w:t xml:space="preserve">Needed for the Operations &amp; Leadership page and the About section.</w:t>
      </w:r>
    </w:p>
    <w:p>
      <w:pPr>
        <w:pStyle w:val="ListParagraph"/>
        <w:numPr>
          <w:ilvl w:val="0"/>
          <w:numId w:val="2"/>
        </w:numPr>
        <w:spacing w:after="100"/>
      </w:pPr>
      <w:r>
        <w:rPr>
          <w:b/>
          <w:bCs/>
        </w:rPr>
        <w:t xml:space="preserve">Process photography: </w:t>
      </w:r>
      <w:r>
        <w:t xml:space="preserve">Crews working, safety equipment, quality control moments. These humanize the brand and convert the “who are these people?” question that every homeowner asks.</w:t>
      </w:r>
    </w:p>
    <w:p>
      <w:pPr>
        <w:pStyle w:val="Heading2"/>
      </w:pPr>
      <w:r>
        <w:t xml:space="preserve">4.5 Voice &amp; Tone</w:t>
      </w:r>
    </w:p>
    <w:p>
      <w:pPr>
        <w:spacing w:after="160"/>
      </w:pPr>
      <w:r>
        <w:t xml:space="preserve">Pro Exteriors speaks with the confidence of a company that’s roofed Texas Motor Speedway and the approachability of a company that answers the phone when your ceiling is dripping.</w:t>
      </w:r>
    </w:p>
    <w:p>
      <w:pPr>
        <w:pStyle w:val="ListParagraph"/>
        <w:numPr>
          <w:ilvl w:val="0"/>
          <w:numId w:val="2"/>
        </w:numPr>
        <w:spacing w:after="100"/>
      </w:pPr>
      <w:r>
        <w:rPr>
          <w:b/>
          <w:bCs/>
        </w:rPr>
        <w:t xml:space="preserve">Commercial voice: </w:t>
      </w:r>
      <w:r>
        <w:t xml:space="preserve">Authoritative, technical, evidence-based. Procurement officers respect specificity — membrane types, warranty structures, manufacturer certifications. The tone is peer-to-peer professional, never salesy.</w:t>
      </w:r>
    </w:p>
    <w:p>
      <w:pPr>
        <w:pStyle w:val="ListParagraph"/>
        <w:numPr>
          <w:ilvl w:val="0"/>
          <w:numId w:val="2"/>
        </w:numPr>
        <w:spacing w:after="100"/>
      </w:pPr>
      <w:r>
        <w:rPr>
          <w:b/>
          <w:bCs/>
        </w:rPr>
        <w:t xml:space="preserve">Residential voice: </w:t>
      </w:r>
      <w:r>
        <w:t xml:space="preserve">Reassuring, clear, human. Homeowners are often stressed (leak, storm damage) or making a decision they’ve never made before (first roof replacement). The tone is expert-next-door — knowledgeable without being intimidating.</w:t>
      </w:r>
    </w:p>
    <w:p>
      <w:pPr>
        <w:pStyle w:val="ListParagraph"/>
        <w:numPr>
          <w:ilvl w:val="0"/>
          <w:numId w:val="2"/>
        </w:numPr>
        <w:spacing w:after="100"/>
      </w:pPr>
      <w:r>
        <w:rPr>
          <w:b/>
          <w:bCs/>
        </w:rPr>
        <w:t xml:space="preserve">Shared: </w:t>
      </w:r>
      <w:r>
        <w:t xml:space="preserve">Both audiences get the same brand confidence. Neither gets jargon the other wouldn’t understand. Both get proof systems appropriate to their decision-making process.</w:t>
      </w:r>
    </w:p>
    <w:p>
      <w:r>
        <w:br w:type="page"/>
      </w:r>
    </w:p>
    <w:p>
      <w:pPr>
        <w:pStyle w:val="Heading1"/>
      </w:pPr>
      <w:r>
        <w:t xml:space="preserve">5. Information Architecture</w:t>
      </w:r>
    </w:p>
    <w:p>
      <w:pPr>
        <w:spacing w:after="160"/>
      </w:pPr>
      <w:r>
        <w:t xml:space="preserve">The IA synthesizes the client’s confirmed navigation structure, AIA4’s strategic additions, and the patterns extracted from the residential reference site teardowns. Items marked with ★ are AIA4 additions not in the client’s original spec.</w:t>
      </w:r>
    </w:p>
    <w:p>
      <w:pPr>
        <w:pStyle w:val="Heading2"/>
      </w:pPr>
      <w:r>
        <w:t xml:space="preserve">5.1 Primary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600"/>
        <w:gridCol w:w="1160"/>
        <w:gridCol w:w="3000"/>
      </w:tblGrid>
      <w:tr>
        <w:tc>
          <w:tcPr>
            <w:tcW w:type="dxa" w:w="160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Nav Item</w:t>
            </w:r>
          </w:p>
        </w:tc>
        <w:tc>
          <w:tcPr>
            <w:tcW w:type="dxa" w:w="100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260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Children / Path</w:t>
            </w:r>
          </w:p>
        </w:tc>
        <w:tc>
          <w:tcPr>
            <w:tcW w:type="dxa" w:w="116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Audience</w:t>
            </w:r>
          </w:p>
        </w:tc>
        <w:tc>
          <w:tcPr>
            <w:tcW w:type="dxa" w:w="300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1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Home</w:t>
            </w:r>
          </w:p>
        </w:tc>
        <w:tc>
          <w:tcPr>
            <w:tcW w:type="dxa" w:w="1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Page</w:t>
            </w:r>
          </w:p>
        </w:tc>
        <w:tc>
          <w:tcPr>
            <w:tcW w:type="dxa" w:w="2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11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Both</w:t>
            </w:r>
          </w:p>
        </w:tc>
        <w:tc>
          <w:tcPr>
            <w:tcW w:type="dxa" w:w="3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Two-audience routing within first viewport</w:t>
            </w:r>
          </w:p>
        </w:tc>
      </w:tr>
      <w:tr>
        <w:tc>
          <w:tcPr>
            <w:tcW w:type="dxa" w:w="1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Commercial Roofing</w:t>
            </w:r>
          </w:p>
        </w:tc>
        <w:tc>
          <w:tcPr>
            <w:tcW w:type="dxa" w:w="1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Mega-nav</w:t>
            </w:r>
          </w:p>
        </w:tc>
        <w:tc>
          <w:tcPr>
            <w:tcW w:type="dxa" w:w="2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Services, Manufacturers, Case Studies, Locations</w:t>
            </w:r>
          </w:p>
        </w:tc>
        <w:tc>
          <w:tcPr>
            <w:tcW w:type="dxa" w:w="11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Commercial</w:t>
            </w:r>
          </w:p>
        </w:tc>
        <w:tc>
          <w:tcPr>
            <w:tcW w:type="dxa" w:w="3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Client-confirmed; deep service content ready</w:t>
            </w:r>
          </w:p>
        </w:tc>
      </w:tr>
      <w:tr>
        <w:tc>
          <w:tcPr>
            <w:tcW w:type="dxa" w:w="1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Residential Roofing</w:t>
            </w:r>
          </w:p>
        </w:tc>
        <w:tc>
          <w:tcPr>
            <w:tcW w:type="dxa" w:w="1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Mega-nav</w:t>
            </w:r>
          </w:p>
        </w:tc>
        <w:tc>
          <w:tcPr>
            <w:tcW w:type="dxa" w:w="2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Services, Materials ★, Emergency Repair ★, Free Inspection ★</w:t>
            </w:r>
          </w:p>
        </w:tc>
        <w:tc>
          <w:tcPr>
            <w:tcW w:type="dxa" w:w="11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Residential</w:t>
            </w:r>
          </w:p>
        </w:tc>
        <w:tc>
          <w:tcPr>
            <w:tcW w:type="dxa" w:w="3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Apple model: material pages + free inspection CTA</w:t>
            </w:r>
          </w:p>
        </w:tc>
      </w:tr>
      <w:tr>
        <w:tc>
          <w:tcPr>
            <w:tcW w:type="dxa" w:w="1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Projects &amp; Case Studies ★</w:t>
            </w:r>
          </w:p>
        </w:tc>
        <w:tc>
          <w:tcPr>
            <w:tcW w:type="dxa" w:w="1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Gallery</w:t>
            </w:r>
          </w:p>
        </w:tc>
        <w:tc>
          <w:tcPr>
            <w:tcW w:type="dxa" w:w="2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Filterable by vertical, location, material</w:t>
            </w:r>
          </w:p>
        </w:tc>
        <w:tc>
          <w:tcPr>
            <w:tcW w:type="dxa" w:w="11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Both</w:t>
            </w:r>
          </w:p>
        </w:tc>
        <w:tc>
          <w:tcPr>
            <w:tcW w:type="dxa" w:w="3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Supreme’s strongest pattern; Apple’s biggest gap</w:t>
            </w:r>
          </w:p>
        </w:tc>
      </w:tr>
      <w:tr>
        <w:tc>
          <w:tcPr>
            <w:tcW w:type="dxa" w:w="1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Service Areas</w:t>
            </w:r>
          </w:p>
        </w:tc>
        <w:tc>
          <w:tcPr>
            <w:tcW w:type="dxa" w:w="1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Hub page</w:t>
            </w:r>
          </w:p>
        </w:tc>
        <w:tc>
          <w:tcPr>
            <w:tcW w:type="dxa" w:w="2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Interactive SVG map + individual location pages ★</w:t>
            </w:r>
          </w:p>
        </w:tc>
        <w:tc>
          <w:tcPr>
            <w:tcW w:type="dxa" w:w="11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Both</w:t>
            </w:r>
          </w:p>
        </w:tc>
        <w:tc>
          <w:tcPr>
            <w:tcW w:type="dxa" w:w="3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Apple model: 100+ location pages with local schema</w:t>
            </w:r>
          </w:p>
        </w:tc>
      </w:tr>
      <w:tr>
        <w:tc>
          <w:tcPr>
            <w:tcW w:type="dxa" w:w="1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About Pro Exteriors</w:t>
            </w:r>
          </w:p>
        </w:tc>
        <w:tc>
          <w:tcPr>
            <w:tcW w:type="dxa" w:w="1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Page</w:t>
            </w:r>
          </w:p>
        </w:tc>
        <w:tc>
          <w:tcPr>
            <w:tcW w:type="dxa" w:w="2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Team, History, Certifications, Careers ★</w:t>
            </w:r>
          </w:p>
        </w:tc>
        <w:tc>
          <w:tcPr>
            <w:tcW w:type="dxa" w:w="11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Both</w:t>
            </w:r>
          </w:p>
        </w:tc>
        <w:tc>
          <w:tcPr>
            <w:tcW w:type="dxa" w:w="3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Client-confirmed + careers (signals institutional scale)</w:t>
            </w:r>
          </w:p>
        </w:tc>
      </w:tr>
      <w:tr>
        <w:tc>
          <w:tcPr>
            <w:tcW w:type="dxa" w:w="1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Resources ★</w:t>
            </w:r>
          </w:p>
        </w:tc>
        <w:tc>
          <w:tcPr>
            <w:tcW w:type="dxa" w:w="1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Blog hub</w:t>
            </w:r>
          </w:p>
        </w:tc>
        <w:tc>
          <w:tcPr>
            <w:tcW w:type="dxa" w:w="2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Blog, FAQ ★, Guides ★, Warranty Info ★</w:t>
            </w:r>
          </w:p>
        </w:tc>
        <w:tc>
          <w:tcPr>
            <w:tcW w:type="dxa" w:w="11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Both</w:t>
            </w:r>
          </w:p>
        </w:tc>
        <w:tc>
          <w:tcPr>
            <w:tcW w:type="dxa" w:w="3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AHC model: 100+ posts as organic engine</w:t>
            </w:r>
          </w:p>
        </w:tc>
      </w:tr>
      <w:tr>
        <w:tc>
          <w:tcPr>
            <w:tcW w:type="dxa" w:w="1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Contact / Get a Quote</w:t>
            </w:r>
          </w:p>
        </w:tc>
        <w:tc>
          <w:tcPr>
            <w:tcW w:type="dxa" w:w="1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Conversion</w:t>
            </w:r>
          </w:p>
        </w:tc>
        <w:tc>
          <w:tcPr>
            <w:tcW w:type="dxa" w:w="2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Commercial RFQ, Residential Inspection, Emergency</w:t>
            </w:r>
          </w:p>
        </w:tc>
        <w:tc>
          <w:tcPr>
            <w:tcW w:type="dxa" w:w="11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Both</w:t>
            </w:r>
          </w:p>
        </w:tc>
        <w:tc>
          <w:tcPr>
            <w:tcW w:type="dxa" w:w="3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Three distinct conversion paths</w:t>
            </w:r>
          </w:p>
        </w:tc>
      </w:tr>
    </w:tbl>
    <w:p>
      <w:pPr>
        <w:pStyle w:val="Heading2"/>
      </w:pPr>
      <w:r>
        <w:t xml:space="preserve">5.2 Residential Service Architecture (From Reference Analysis)</w:t>
      </w:r>
    </w:p>
    <w:p>
      <w:pPr>
        <w:spacing w:after="160"/>
      </w:pPr>
      <w:r>
        <w:t xml:space="preserve">Based on American Home Contractors’ service productization and Apple Roofing’s material-first strategy, the residential IA includes:</w:t>
      </w:r>
    </w:p>
    <w:p>
      <w:pPr>
        <w:pStyle w:val="Heading3"/>
      </w:pPr>
      <w:r>
        <w:t xml:space="preserve">Service Pages</w:t>
      </w:r>
    </w:p>
    <w:p>
      <w:pPr>
        <w:pStyle w:val="ListParagraph"/>
        <w:numPr>
          <w:ilvl w:val="0"/>
          <w:numId w:val="2"/>
        </w:numPr>
        <w:spacing w:after="100"/>
      </w:pPr>
      <w:r>
        <w:rPr>
          <w:b/>
          <w:bCs/>
        </w:rPr>
        <w:t xml:space="preserve">Roof Repair</w:t>
      </w:r>
      <w:r>
        <w:t xml:space="preserve"> — emergency and scheduled repair (mirrors AHC’s “roof tune-up” productization)</w:t>
      </w:r>
    </w:p>
    <w:p>
      <w:pPr>
        <w:pStyle w:val="ListParagraph"/>
        <w:numPr>
          <w:ilvl w:val="0"/>
          <w:numId w:val="2"/>
        </w:numPr>
        <w:spacing w:after="100"/>
      </w:pPr>
      <w:r>
        <w:rPr>
          <w:b/>
          <w:bCs/>
        </w:rPr>
        <w:t xml:space="preserve">Roof Replacement</w:t>
      </w:r>
      <w:r>
        <w:t xml:space="preserve"> — the high-ticket conversion path, educational and comparison-rich</w:t>
      </w:r>
    </w:p>
    <w:p>
      <w:pPr>
        <w:pStyle w:val="ListParagraph"/>
        <w:numPr>
          <w:ilvl w:val="0"/>
          <w:numId w:val="2"/>
        </w:numPr>
        <w:spacing w:after="100"/>
      </w:pPr>
      <w:r>
        <w:rPr>
          <w:b/>
          <w:bCs/>
        </w:rPr>
        <w:t xml:space="preserve">Free Roof Inspection</w:t>
      </w:r>
      <w:r>
        <w:t xml:space="preserve"> — primary residential CTA (Apple model: highest-linked page on the entire site)</w:t>
      </w:r>
    </w:p>
    <w:p>
      <w:pPr>
        <w:pStyle w:val="ListParagraph"/>
        <w:numPr>
          <w:ilvl w:val="0"/>
          <w:numId w:val="2"/>
        </w:numPr>
        <w:spacing w:after="100"/>
      </w:pPr>
      <w:r>
        <w:rPr>
          <w:b/>
          <w:bCs/>
        </w:rPr>
        <w:t xml:space="preserve">Storm Damage / Insurance Claims</w:t>
      </w:r>
      <w:r>
        <w:t xml:space="preserve"> — high-urgency, high-conversion path</w:t>
      </w:r>
    </w:p>
    <w:p>
      <w:pPr>
        <w:pStyle w:val="ListParagraph"/>
        <w:numPr>
          <w:ilvl w:val="0"/>
          <w:numId w:val="2"/>
        </w:numPr>
        <w:spacing w:after="100"/>
      </w:pPr>
      <w:r>
        <w:rPr>
          <w:b/>
          <w:bCs/>
        </w:rPr>
        <w:t xml:space="preserve">Maintenance &amp; Tune-Ups</w:t>
      </w:r>
      <w:r>
        <w:t xml:space="preserve"> — AHC’s productized entry point adapted to Pro Exteriors</w:t>
      </w:r>
    </w:p>
    <w:p>
      <w:pPr>
        <w:pStyle w:val="Heading3"/>
      </w:pPr>
      <w:r>
        <w:t xml:space="preserve">Material Pages (From Apple Roofing Model)</w:t>
      </w:r>
    </w:p>
    <w:p>
      <w:pPr>
        <w:pStyle w:val="ListParagraph"/>
        <w:numPr>
          <w:ilvl w:val="0"/>
          <w:numId w:val="2"/>
        </w:numPr>
        <w:spacing w:after="100"/>
      </w:pPr>
      <w:r>
        <w:rPr>
          <w:b/>
          <w:bCs/>
        </w:rPr>
        <w:t xml:space="preserve">Shingle Roofing</w:t>
      </w:r>
      <w:r>
        <w:t xml:space="preserve"> — most searched residential roofing material</w:t>
      </w:r>
    </w:p>
    <w:p>
      <w:pPr>
        <w:pStyle w:val="ListParagraph"/>
        <w:numPr>
          <w:ilvl w:val="0"/>
          <w:numId w:val="2"/>
        </w:numPr>
        <w:spacing w:after="100"/>
      </w:pPr>
      <w:r>
        <w:rPr>
          <w:b/>
          <w:bCs/>
        </w:rPr>
        <w:t xml:space="preserve">Metal Roofing</w:t>
      </w:r>
      <w:r>
        <w:t xml:space="preserve"> — “metal roof cost” is an uncontested keyword in PE’s geos</w:t>
      </w:r>
    </w:p>
    <w:p>
      <w:pPr>
        <w:pStyle w:val="ListParagraph"/>
        <w:numPr>
          <w:ilvl w:val="0"/>
          <w:numId w:val="2"/>
        </w:numPr>
        <w:spacing w:after="100"/>
      </w:pPr>
      <w:r>
        <w:rPr>
          <w:b/>
          <w:bCs/>
        </w:rPr>
        <w:t xml:space="preserve">Tile Roofing</w:t>
      </w:r>
      <w:r>
        <w:t xml:space="preserve"> — relevant for Texas residential market</w:t>
      </w:r>
    </w:p>
    <w:p>
      <w:pPr>
        <w:pStyle w:val="ListParagraph"/>
        <w:numPr>
          <w:ilvl w:val="0"/>
          <w:numId w:val="2"/>
        </w:numPr>
        <w:spacing w:after="100"/>
      </w:pPr>
      <w:r>
        <w:rPr>
          <w:b/>
          <w:bCs/>
        </w:rPr>
        <w:t xml:space="preserve">Flat Roofing</w:t>
      </w:r>
      <w:r>
        <w:t xml:space="preserve"> — crossover commercial/residential for low-slope residential</w:t>
      </w:r>
    </w:p>
    <w:p>
      <w:pPr>
        <w:spacing w:after="160"/>
      </w:pPr>
      <w:r>
        <w:rPr>
          <w:i/>
          <w:iCs/>
        </w:rPr>
        <w:t xml:space="preserve">Each material page gets dedicated schema markup, comparison content, cost guidance, and a CTA that routes to the appropriate conversion path.</w:t>
      </w:r>
    </w:p>
    <w:p>
      <w:pPr>
        <w:pStyle w:val="Heading3"/>
      </w:pPr>
      <w:r>
        <w:t xml:space="preserve">Location Pages</w:t>
      </w:r>
    </w:p>
    <w:p>
      <w:pPr>
        <w:spacing w:after="160"/>
      </w:pPr>
      <w:r>
        <w:t xml:space="preserve">Following Apple Roofing’s model at scale, each market Pro Exteriors serves gets a dedicated location page with:</w:t>
      </w:r>
    </w:p>
    <w:p>
      <w:pPr>
        <w:pStyle w:val="ListParagraph"/>
        <w:numPr>
          <w:ilvl w:val="0"/>
          <w:numId w:val="2"/>
        </w:numPr>
        <w:spacing w:after="100"/>
      </w:pPr>
      <w:r>
        <w:t xml:space="preserve">City-specific H1 and meta description targeting “[service] [city] [state]”</w:t>
      </w:r>
    </w:p>
    <w:p>
      <w:pPr>
        <w:pStyle w:val="ListParagraph"/>
        <w:numPr>
          <w:ilvl w:val="0"/>
          <w:numId w:val="2"/>
        </w:numPr>
        <w:spacing w:after="100"/>
      </w:pPr>
      <w:r>
        <w:t xml:space="preserve">LocalBusiness schema markup for the nearest office</w:t>
      </w:r>
    </w:p>
    <w:p>
      <w:pPr>
        <w:pStyle w:val="ListParagraph"/>
        <w:numPr>
          <w:ilvl w:val="0"/>
          <w:numId w:val="2"/>
        </w:numPr>
        <w:spacing w:after="100"/>
      </w:pPr>
      <w:r>
        <w:t xml:space="preserve">Local case studies and project photos (when available)</w:t>
      </w:r>
    </w:p>
    <w:p>
      <w:pPr>
        <w:pStyle w:val="ListParagraph"/>
        <w:numPr>
          <w:ilvl w:val="0"/>
          <w:numId w:val="2"/>
        </w:numPr>
        <w:spacing w:after="100"/>
      </w:pPr>
      <w:r>
        <w:t xml:space="preserve">Local team members or office information</w:t>
      </w:r>
    </w:p>
    <w:p>
      <w:pPr>
        <w:pStyle w:val="ListParagraph"/>
        <w:numPr>
          <w:ilvl w:val="0"/>
          <w:numId w:val="2"/>
        </w:numPr>
        <w:spacing w:after="100"/>
      </w:pPr>
      <w:r>
        <w:t xml:space="preserve">Google Maps embed with directions</w:t>
      </w:r>
    </w:p>
    <w:p>
      <w:pPr>
        <w:pStyle w:val="ListParagraph"/>
        <w:numPr>
          <w:ilvl w:val="0"/>
          <w:numId w:val="2"/>
        </w:numPr>
        <w:spacing w:after="100"/>
      </w:pPr>
      <w:r>
        <w:t xml:space="preserve">Localized CTA (“Schedule Your Free Richardson Roof Inspection”)</w:t>
      </w:r>
    </w:p>
    <w:p>
      <w:pPr>
        <w:pStyle w:val="Heading2"/>
      </w:pPr>
      <w:r>
        <w:t xml:space="preserve">5.3 Homepage Flow (Revised)</w:t>
      </w:r>
    </w:p>
    <w:p>
      <w:pPr>
        <w:spacing w:after="160"/>
      </w:pPr>
      <w:r>
        <w:t xml:space="preserve">This is the merger blueprint from the Competitive Analysis, now updated with the residential reference patterns:</w:t>
      </w:r>
    </w:p>
    <w:p>
      <w:pPr>
        <w:pStyle w:val="ListParagraph"/>
        <w:numPr>
          <w:ilvl w:val="0"/>
          <w:numId w:val="3"/>
        </w:numPr>
        <w:spacing w:after="100"/>
      </w:pPr>
      <w:r>
        <w:rPr>
          <w:b/>
          <w:bCs/>
        </w:rPr>
        <w:t xml:space="preserve">Hero: </w:t>
      </w:r>
      <w:r>
        <w:t xml:space="preserve">Texas Motor Speedway video (autoplay, muted, looping) with poster frame for green LCP. Dual CTAs: “Commercial Assessment” + “Free Home Inspection.”</w:t>
      </w:r>
    </w:p>
    <w:p>
      <w:pPr>
        <w:pStyle w:val="ListParagraph"/>
        <w:numPr>
          <w:ilvl w:val="0"/>
          <w:numId w:val="3"/>
        </w:numPr>
        <w:spacing w:after="100"/>
      </w:pPr>
      <w:r>
        <w:rPr>
          <w:b/>
          <w:bCs/>
        </w:rPr>
        <w:t xml:space="preserve">Trust Badge Bar: </w:t>
      </w:r>
      <w:r>
        <w:t xml:space="preserve">Manufacturer certification logos (Carlisle, FiberTite, Duro-Last, GAF, etc.) + aggregate review rating with schema markup. From Apple’s pattern — visible before first scroll.</w:t>
      </w:r>
    </w:p>
    <w:p>
      <w:pPr>
        <w:pStyle w:val="ListParagraph"/>
        <w:numPr>
          <w:ilvl w:val="0"/>
          <w:numId w:val="3"/>
        </w:numPr>
        <w:spacing w:after="100"/>
      </w:pPr>
      <w:r>
        <w:rPr>
          <w:b/>
          <w:bCs/>
        </w:rPr>
        <w:t xml:space="preserve">Two-Audience Routing: </w:t>
      </w:r>
      <w:r>
        <w:t xml:space="preserve">Commercial card + Residential card. Each with value proposition, proof point, and CTA. Self-select in &lt;15 seconds. This is the intervention from the Client Request Synthesis — the 1,500-word commercial content block moves to its service page.</w:t>
      </w:r>
    </w:p>
    <w:p>
      <w:pPr>
        <w:pStyle w:val="ListParagraph"/>
        <w:numPr>
          <w:ilvl w:val="0"/>
          <w:numId w:val="3"/>
        </w:numPr>
        <w:spacing w:after="100"/>
      </w:pPr>
      <w:r>
        <w:rPr>
          <w:b/>
          <w:bCs/>
        </w:rPr>
        <w:t xml:space="preserve">Residential Value Block: </w:t>
      </w:r>
      <w:r>
        <w:t xml:space="preserve">3–4 service cards (Repair, Replacement, Storm Damage, Free Inspection) with micro-proof points. Adapted from AHC’s service grid.</w:t>
      </w:r>
    </w:p>
    <w:p>
      <w:pPr>
        <w:pStyle w:val="ListParagraph"/>
        <w:numPr>
          <w:ilvl w:val="0"/>
          <w:numId w:val="3"/>
        </w:numPr>
        <w:spacing w:after="100"/>
      </w:pPr>
      <w:r>
        <w:rPr>
          <w:b/>
          <w:bCs/>
        </w:rPr>
        <w:t xml:space="preserve">Testimonials / Google Reviews: </w:t>
      </w:r>
      <w:r>
        <w:t xml:space="preserve">Carousel pulling live Google reviews via Places API + aggregate rating schema. Mix commercial and residential quotes. From Apple’s carousel pattern.</w:t>
      </w:r>
    </w:p>
    <w:p>
      <w:pPr>
        <w:pStyle w:val="ListParagraph"/>
        <w:numPr>
          <w:ilvl w:val="0"/>
          <w:numId w:val="3"/>
        </w:numPr>
        <w:spacing w:after="100"/>
      </w:pPr>
      <w:r>
        <w:rPr>
          <w:b/>
          <w:bCs/>
        </w:rPr>
        <w:t xml:space="preserve">Interactive SVG US Map: </w:t>
      </w:r>
      <w:r>
        <w:t xml:space="preserve">Clickable states and office pins. Accessible (ARIA labels, keyboard nav), links to location landing pages. From Apple’s concept rebuilt as proper SVG, not canvas.</w:t>
      </w:r>
    </w:p>
    <w:p>
      <w:pPr>
        <w:pStyle w:val="ListParagraph"/>
        <w:numPr>
          <w:ilvl w:val="0"/>
          <w:numId w:val="3"/>
        </w:numPr>
        <w:spacing w:after="100"/>
      </w:pPr>
      <w:r>
        <w:rPr>
          <w:b/>
          <w:bCs/>
        </w:rPr>
        <w:t xml:space="preserve">Featured Case Studies: </w:t>
      </w:r>
      <w:r>
        <w:t xml:space="preserve">3–4 hero projects with vertical labels, linking to full portfolio. From Supreme’s strength.</w:t>
      </w:r>
    </w:p>
    <w:p>
      <w:pPr>
        <w:pStyle w:val="ListParagraph"/>
        <w:numPr>
          <w:ilvl w:val="0"/>
          <w:numId w:val="3"/>
        </w:numPr>
        <w:spacing w:after="100"/>
      </w:pPr>
      <w:r>
        <w:rPr>
          <w:b/>
          <w:bCs/>
        </w:rPr>
        <w:t xml:space="preserve">Services Overview Grid: </w:t>
      </w:r>
      <w:r>
        <w:t xml:space="preserve">Concise cards for each service vertical. Replaces the relocated content block.</w:t>
      </w:r>
    </w:p>
    <w:p>
      <w:pPr>
        <w:pStyle w:val="ListParagraph"/>
        <w:numPr>
          <w:ilvl w:val="0"/>
          <w:numId w:val="3"/>
        </w:numPr>
        <w:spacing w:after="100"/>
      </w:pPr>
      <w:r>
        <w:rPr>
          <w:b/>
          <w:bCs/>
        </w:rPr>
        <w:t xml:space="preserve">Partner with Pro Exteriors CTA: </w:t>
      </w:r>
      <w:r>
        <w:t xml:space="preserve">Strong closing CTA with commercial and residential paths.</w:t>
      </w:r>
    </w:p>
    <w:p>
      <w:r>
        <w:br w:type="page"/>
      </w:r>
    </w:p>
    <w:p>
      <w:pPr>
        <w:pStyle w:val="Heading1"/>
      </w:pPr>
      <w:r>
        <w:t xml:space="preserve">6. Design System Scope</w:t>
      </w:r>
    </w:p>
    <w:p>
      <w:pPr>
        <w:spacing w:after="160"/>
      </w:pPr>
      <w:r>
        <w:t xml:space="preserve">The Design System Master Plan (v1.0, April 12, 2026) has been produced by a parallel workstream and defines the complete execution framework. This section summarizes what it contains and how it connects to the brief.</w:t>
      </w:r>
    </w:p>
    <w:p>
      <w:pPr>
        <w:pStyle w:val="Heading2"/>
      </w:pPr>
      <w:r>
        <w:t xml:space="preserve">6.1 What’s Already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360"/>
        <w:gridCol w:w="3000"/>
      </w:tblGrid>
      <w:tr>
        <w:tc>
          <w:tcPr>
            <w:tcW w:type="dxa" w:w="400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Asset</w:t>
            </w:r>
          </w:p>
        </w:tc>
        <w:tc>
          <w:tcPr>
            <w:tcW w:type="dxa" w:w="236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300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Format</w:t>
            </w:r>
          </w:p>
        </w:tc>
      </w:tr>
      <w:tr>
        <w:tc>
          <w:tcPr>
            <w:tcW w:type="dxa" w:w="4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Color system (5 primaries + full tint/shade scales)</w:t>
            </w:r>
          </w:p>
        </w:tc>
        <w:tc>
          <w:tcPr>
            <w:tcW w:type="dxa" w:w="23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v1.0 Complete</w:t>
            </w:r>
          </w:p>
        </w:tc>
        <w:tc>
          <w:tcPr>
            <w:tcW w:type="dxa" w:w="3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CSS, SCSS, Tailwind, PDF, HTML reference</w:t>
            </w:r>
          </w:p>
        </w:tc>
      </w:tr>
      <w:tr>
        <w:tc>
          <w:tcPr>
            <w:tcW w:type="dxa" w:w="4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Pantone vendor reference card</w:t>
            </w:r>
          </w:p>
        </w:tc>
        <w:tc>
          <w:tcPr>
            <w:tcW w:type="dxa" w:w="23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v1.0 Complete</w:t>
            </w:r>
          </w:p>
        </w:tc>
        <w:tc>
          <w:tcPr>
            <w:tcW w:type="dxa" w:w="3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Markdown</w:t>
            </w:r>
          </w:p>
        </w:tc>
      </w:tr>
      <w:tr>
        <w:tc>
          <w:tcPr>
            <w:tcW w:type="dxa" w:w="4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WCAG contrast matrix (approved + banned pairings)</w:t>
            </w:r>
          </w:p>
        </w:tc>
        <w:tc>
          <w:tcPr>
            <w:tcW w:type="dxa" w:w="23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v1.0 Complete</w:t>
            </w:r>
          </w:p>
        </w:tc>
        <w:tc>
          <w:tcPr>
            <w:tcW w:type="dxa" w:w="3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In Design System Plan</w:t>
            </w:r>
          </w:p>
        </w:tc>
      </w:tr>
    </w:tbl>
    <w:p>
      <w:pPr>
        <w:pStyle w:val="Heading2"/>
      </w:pPr>
      <w:r>
        <w:t xml:space="preserve">6.2 What the Design System Plan Defines (Pending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System</w:t>
            </w:r>
          </w:p>
        </w:tc>
        <w:tc>
          <w:tcPr>
            <w:tcW w:type="dxa" w:w="436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Specs</w:t>
            </w:r>
          </w:p>
        </w:tc>
        <w:tc>
          <w:tcPr>
            <w:tcW w:type="dxa" w:w="300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r>
      <w:tr>
        <w:tc>
          <w:tcPr>
            <w:tcW w:type="dxa" w:w="2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Typography</w:t>
            </w:r>
          </w:p>
        </w:tc>
        <w:tc>
          <w:tcPr>
            <w:tcW w:type="dxa" w:w="43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Major Third scale (1.250), 10 size tokens, line-height/tracking/kerning tokens, 80KB font budget, variable font strategy</w:t>
            </w:r>
          </w:p>
        </w:tc>
        <w:tc>
          <w:tcPr>
            <w:tcW w:type="dxa" w:w="3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Phase 1</w:t>
            </w:r>
          </w:p>
        </w:tc>
      </w:tr>
      <w:tr>
        <w:tc>
          <w:tcPr>
            <w:tcW w:type="dxa" w:w="2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Spacing</w:t>
            </w:r>
          </w:p>
        </w:tc>
        <w:tc>
          <w:tcPr>
            <w:tcW w:type="dxa" w:w="43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4px base unit, 16-step scale, component-specific padding/gap/margin rules, white space philosophy</w:t>
            </w:r>
          </w:p>
        </w:tc>
        <w:tc>
          <w:tcPr>
            <w:tcW w:type="dxa" w:w="3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Phase 1</w:t>
            </w:r>
          </w:p>
        </w:tc>
      </w:tr>
      <w:tr>
        <w:tc>
          <w:tcPr>
            <w:tcW w:type="dxa" w:w="2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Layout Grid</w:t>
            </w:r>
          </w:p>
        </w:tc>
        <w:tc>
          <w:tcPr>
            <w:tcW w:type="dxa" w:w="43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12-col desktop, 6-col tablet, 4-col mobile, 5 breakpoints, content width tokens (prose/content/wide/full/bleed)</w:t>
            </w:r>
          </w:p>
        </w:tc>
        <w:tc>
          <w:tcPr>
            <w:tcW w:type="dxa" w:w="3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Phase 1</w:t>
            </w:r>
          </w:p>
        </w:tc>
      </w:tr>
      <w:tr>
        <w:tc>
          <w:tcPr>
            <w:tcW w:type="dxa" w:w="2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Color Application</w:t>
            </w:r>
          </w:p>
        </w:tc>
        <w:tc>
          <w:tcPr>
            <w:tcW w:type="dxa" w:w="43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60/30/10 distribution, color-as-navigation (commercial vs. residential worlds), saturation rules</w:t>
            </w:r>
          </w:p>
        </w:tc>
        <w:tc>
          <w:tcPr>
            <w:tcW w:type="dxa" w:w="3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Phase 1</w:t>
            </w:r>
          </w:p>
        </w:tc>
      </w:tr>
      <w:tr>
        <w:tc>
          <w:tcPr>
            <w:tcW w:type="dxa" w:w="2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Component Library</w:t>
            </w:r>
          </w:p>
        </w:tc>
        <w:tc>
          <w:tcPr>
            <w:tcW w:type="dxa" w:w="43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Atoms (buttons, inputs, badges, icons), Molecules (cards, form fields, CTAs, trust badges), Organisms (header, hero, gallery, forms, footer)</w:t>
            </w:r>
          </w:p>
        </w:tc>
        <w:tc>
          <w:tcPr>
            <w:tcW w:type="dxa" w:w="3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Phase 2</w:t>
            </w:r>
          </w:p>
        </w:tc>
      </w:tr>
      <w:tr>
        <w:tc>
          <w:tcPr>
            <w:tcW w:type="dxa" w:w="2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Motion &amp; Interaction</w:t>
            </w:r>
          </w:p>
        </w:tc>
        <w:tc>
          <w:tcPr>
            <w:tcW w:type="dxa" w:w="43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300ms page budget, 4 easing tokens, 4 duration tokens, reduced-motion compliance</w:t>
            </w:r>
          </w:p>
        </w:tc>
        <w:tc>
          <w:tcPr>
            <w:tcW w:type="dxa" w:w="3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Phase 2</w:t>
            </w:r>
          </w:p>
        </w:tc>
      </w:tr>
      <w:tr>
        <w:tc>
          <w:tcPr>
            <w:tcW w:type="dxa" w:w="2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Mobile Navigation</w:t>
            </w:r>
          </w:p>
        </w:tc>
        <w:tc>
          <w:tcPr>
            <w:tcW w:type="dxa" w:w="43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Persistent bar + drawer (L1/L2), 48px touch targets, &lt;5KB JS, focus trap, ARIA-complete</w:t>
            </w:r>
          </w:p>
        </w:tc>
        <w:tc>
          <w:tcPr>
            <w:tcW w:type="dxa" w:w="3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Phase 5 (standalone deliverable)</w:t>
            </w:r>
          </w:p>
        </w:tc>
      </w:tr>
      <w:tr>
        <w:tc>
          <w:tcPr>
            <w:tcW w:type="dxa" w:w="2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Cross-Media Profiles</w:t>
            </w:r>
          </w:p>
        </w:tc>
        <w:tc>
          <w:tcPr>
            <w:tcW w:type="dxa" w:w="43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sRGB, CMYK SWOP, Pantone spot, Rec. 709, screen print, embroidery, vehicle wrap</w:t>
            </w:r>
          </w:p>
        </w:tc>
        <w:tc>
          <w:tcPr>
            <w:tcW w:type="dxa" w:w="3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Phase 1</w:t>
            </w:r>
          </w:p>
        </w:tc>
      </w:tr>
      <w:tr>
        <w:tc>
          <w:tcPr>
            <w:tcW w:type="dxa" w:w="2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Border Radius &amp; Shadows</w:t>
            </w:r>
          </w:p>
        </w:tc>
        <w:tc>
          <w:tcPr>
            <w:tcW w:type="dxa" w:w="43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6-step radius scale, 4-step elevation system, navy-tinted shadows</w:t>
            </w:r>
          </w:p>
        </w:tc>
        <w:tc>
          <w:tcPr>
            <w:tcW w:type="dxa" w:w="30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Phase 2</w:t>
            </w:r>
          </w:p>
        </w:tc>
      </w:tr>
    </w:tbl>
    <w:p>
      <w:pPr>
        <w:pStyle w:val="Heading2"/>
      </w:pPr>
      <w:r>
        <w:t xml:space="preserve">6.3 Pipeline Architecture</w:t>
      </w:r>
    </w:p>
    <w:p>
      <w:pPr>
        <w:spacing w:after="160"/>
      </w:pPr>
      <w:r>
        <w:t xml:space="preserve">The Design System Plan defines an 8-stage production pipeline:</w:t>
      </w:r>
    </w:p>
    <w:p>
      <w:pPr>
        <w:pStyle w:val="ListParagraph"/>
        <w:numPr>
          <w:ilvl w:val="0"/>
          <w:numId w:val="2"/>
        </w:numPr>
        <w:spacing w:after="100"/>
      </w:pPr>
      <w:r>
        <w:rPr>
          <w:b/>
          <w:bCs/>
        </w:rPr>
        <w:t xml:space="preserve">Claude</w:t>
      </w:r>
      <w:r>
        <w:t xml:space="preserve"> (strategy + system definition) → </w:t>
      </w:r>
      <w:r>
        <w:rPr>
          <w:b/>
          <w:bCs/>
        </w:rPr>
        <w:t xml:space="preserve">Google Stitch</w:t>
      </w:r>
      <w:r>
        <w:t xml:space="preserve"> (AI wireframe exploration) → </w:t>
      </w:r>
      <w:r>
        <w:rPr>
          <w:b/>
          <w:bCs/>
        </w:rPr>
        <w:t xml:space="preserve">Figma</w:t>
      </w:r>
      <w:r>
        <w:t xml:space="preserve"> (design refinement) → </w:t>
      </w:r>
      <w:r>
        <w:rPr>
          <w:b/>
          <w:bCs/>
        </w:rPr>
        <w:t xml:space="preserve">Claude Code</w:t>
      </w:r>
      <w:r>
        <w:t xml:space="preserve"> (component build) → </w:t>
      </w:r>
      <w:r>
        <w:rPr>
          <w:b/>
          <w:bCs/>
        </w:rPr>
        <w:t xml:space="preserve">GPT Codex</w:t>
      </w:r>
      <w:r>
        <w:t xml:space="preserve"> (parallel code gen) → </w:t>
      </w:r>
      <w:r>
        <w:rPr>
          <w:b/>
          <w:bCs/>
        </w:rPr>
        <w:t xml:space="preserve">GitHub</w:t>
      </w:r>
      <w:r>
        <w:t xml:space="preserve"> (version control + CI) → </w:t>
      </w:r>
      <w:r>
        <w:rPr>
          <w:b/>
          <w:bCs/>
        </w:rPr>
        <w:t xml:space="preserve">Supabase</w:t>
      </w:r>
      <w:r>
        <w:t xml:space="preserve"> (backend + forms + CMS) → </w:t>
      </w:r>
      <w:r>
        <w:rPr>
          <w:b/>
          <w:bCs/>
        </w:rPr>
        <w:t xml:space="preserve">Coolify on KVM V4</w:t>
      </w:r>
      <w:r>
        <w:t xml:space="preserve"> (self-hosted deployment)</w:t>
      </w:r>
    </w:p>
    <w:p>
      <w:pPr>
        <w:spacing w:after="160"/>
      </w:pPr>
      <w:r>
        <w:rPr>
          <w:b/>
          <w:bCs/>
        </w:rPr>
        <w:t xml:space="preserve">Quality gates at every stage: </w:t>
      </w:r>
      <w:r>
        <w:t xml:space="preserve">Zero raw values in code, Lighthouse ≥ 95 on all four scores (target 100), CLS &lt; 0.05, LCP &lt; 1.2s, INP &lt; 100ms, font payload ≤ 80KB, total initial JS ≤ 100KB, all images WebP/AVIF with responsive srcset, WCAG 2.2 AA zero failures, valid JSON-LD schema on every page.</w:t>
      </w:r>
    </w:p>
    <w:p>
      <w:pPr>
        <w:pStyle w:val="Heading2"/>
      </w:pPr>
      <w:r>
        <w:t xml:space="preserve">6.4 The Claude Skill</w:t>
      </w:r>
    </w:p>
    <w:p>
      <w:pPr>
        <w:spacing w:after="160"/>
      </w:pPr>
      <w:r>
        <w:t xml:space="preserve">Phase 3 of the Design System Plan produces a Claude skill that encodes the entire system — tokens, component specs, contrast rules, performance budgets, and pipeline gates. Once installed, every subsequent Claude session on this project automatically applies the design system. This is the enforcement mechanism that prevents drift between what the brief says and what actually ships.</w:t>
      </w:r>
    </w:p>
    <w:p>
      <w:r>
        <w:br w:type="page"/>
      </w:r>
    </w:p>
    <w:p>
      <w:pPr>
        <w:pStyle w:val="Heading1"/>
      </w:pPr>
      <w:r>
        <w:t xml:space="preserve">7. Performance &amp; Technical Requirements</w:t>
      </w:r>
    </w:p>
    <w:p>
      <w:pPr>
        <w:pStyle w:val="Heading2"/>
      </w:pPr>
      <w:r>
        <w:t xml:space="preserve">7.1 The Performance Mandate</w:t>
      </w:r>
    </w:p>
    <w:p>
      <w:pPr>
        <w:spacing w:after="160"/>
      </w:pPr>
      <w:r>
        <w:rPr>
          <w:b/>
          <w:bCs/>
        </w:rPr>
        <w:t xml:space="preserve">Quad-100 Lighthouse on mobile. </w:t>
      </w:r>
      <w:r>
        <w:t xml:space="preserve">Performance 100, Accessibility 100, Best Practices 100, SEO 100. This is the north star metric for the technical build. Every component, every page, every interaction is measured against it.</w:t>
      </w:r>
    </w:p>
    <w:p>
      <w:pPr>
        <w:pBdr>
          <w:left w:val="single" w:color="EAA221" w:sz="12" w:space="8"/>
        </w:pBdr>
        <w:spacing w:after="160" w:before="160"/>
        <w:ind w:left="360"/>
      </w:pPr>
      <w:r>
        <w:rPr>
          <w:i/>
          <w:iCs/>
          <w:color w:val="13294B"/>
          <w:sz w:val="21"/>
          <w:szCs w:val="21"/>
        </w:rPr>
        <w:t xml:space="preserve">Performance is design. A 1.2-second LCP is part of the visual hierarchy. A 0.05 CLS is part of the kerning. No design pattern ships that can’t hit green Core Web Vitals on a mid-range Android over 4G.</w:t>
      </w:r>
    </w:p>
    <w:p>
      <w:pPr>
        <w:pStyle w:val="Heading2"/>
      </w:pPr>
      <w:r>
        <w:t xml:space="preserve">7.2 Core Web Vitals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400"/>
        <w:gridCol w:w="4160"/>
      </w:tblGrid>
      <w:tr>
        <w:tc>
          <w:tcPr>
            <w:tcW w:type="dxa" w:w="260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120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c>
          <w:tcPr>
            <w:tcW w:type="dxa" w:w="140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Hard Ceiling</w:t>
            </w:r>
          </w:p>
        </w:tc>
        <w:tc>
          <w:tcPr>
            <w:tcW w:type="dxa" w:w="416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w:t>
            </w:r>
          </w:p>
        </w:tc>
      </w:tr>
      <w:tr>
        <w:tc>
          <w:tcPr>
            <w:tcW w:type="dxa" w:w="2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LCP (Largest Contentful Paint)</w:t>
            </w:r>
          </w:p>
        </w:tc>
        <w:tc>
          <w:tcPr>
            <w:tcW w:type="dxa" w:w="12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&lt; 1.2s</w:t>
            </w:r>
          </w:p>
        </w:tc>
        <w:tc>
          <w:tcPr>
            <w:tcW w:type="dxa" w:w="14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&lt; 2.5s</w:t>
            </w:r>
          </w:p>
        </w:tc>
        <w:tc>
          <w:tcPr>
            <w:tcW w:type="dxa" w:w="41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Hero image + nav must render fast; video poster frame strategy</w:t>
            </w:r>
          </w:p>
        </w:tc>
      </w:tr>
      <w:tr>
        <w:tc>
          <w:tcPr>
            <w:tcW w:type="dxa" w:w="2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CLS (Cumulative Layout Shift)</w:t>
            </w:r>
          </w:p>
        </w:tc>
        <w:tc>
          <w:tcPr>
            <w:tcW w:type="dxa" w:w="12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4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&lt; 0.05</w:t>
            </w:r>
          </w:p>
        </w:tc>
        <w:tc>
          <w:tcPr>
            <w:tcW w:type="dxa" w:w="41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No layout shift from font loading, images, or ads</w:t>
            </w:r>
          </w:p>
        </w:tc>
      </w:tr>
      <w:tr>
        <w:tc>
          <w:tcPr>
            <w:tcW w:type="dxa" w:w="2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INP (Interaction to Next Paint)</w:t>
            </w:r>
          </w:p>
        </w:tc>
        <w:tc>
          <w:tcPr>
            <w:tcW w:type="dxa" w:w="12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&lt; 100ms</w:t>
            </w:r>
          </w:p>
        </w:tc>
        <w:tc>
          <w:tcPr>
            <w:tcW w:type="dxa" w:w="14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&lt; 200ms</w:t>
            </w:r>
          </w:p>
        </w:tc>
        <w:tc>
          <w:tcPr>
            <w:tcW w:type="dxa" w:w="41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Every tap, click, and keystroke responds instantly</w:t>
            </w:r>
          </w:p>
        </w:tc>
      </w:tr>
      <w:tr>
        <w:tc>
          <w:tcPr>
            <w:tcW w:type="dxa" w:w="2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FCP (First Contentful Paint)</w:t>
            </w:r>
          </w:p>
        </w:tc>
        <w:tc>
          <w:tcPr>
            <w:tcW w:type="dxa" w:w="12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&lt; 0.8s</w:t>
            </w:r>
          </w:p>
        </w:tc>
        <w:tc>
          <w:tcPr>
            <w:tcW w:type="dxa" w:w="14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&lt; 1.8s</w:t>
            </w:r>
          </w:p>
        </w:tc>
        <w:tc>
          <w:tcPr>
            <w:tcW w:type="dxa" w:w="41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Something meaningful on screen immediately</w:t>
            </w:r>
          </w:p>
        </w:tc>
      </w:tr>
      <w:tr>
        <w:tc>
          <w:tcPr>
            <w:tcW w:type="dxa" w:w="2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TTFB (Time to First Byte)</w:t>
            </w:r>
          </w:p>
        </w:tc>
        <w:tc>
          <w:tcPr>
            <w:tcW w:type="dxa" w:w="12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&lt; 200ms</w:t>
            </w:r>
          </w:p>
        </w:tc>
        <w:tc>
          <w:tcPr>
            <w:tcW w:type="dxa" w:w="14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&lt; 600ms</w:t>
            </w:r>
          </w:p>
        </w:tc>
        <w:tc>
          <w:tcPr>
            <w:tcW w:type="dxa" w:w="416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Server-side rendering + edge caching</w:t>
            </w:r>
          </w:p>
        </w:tc>
      </w:tr>
    </w:tbl>
    <w:p>
      <w:pPr>
        <w:pStyle w:val="Heading2"/>
      </w:pPr>
      <w:r>
        <w:t xml:space="preserve">7.3 Budget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600"/>
        <w:gridCol w:w="3640"/>
      </w:tblGrid>
      <w:tr>
        <w:tc>
          <w:tcPr>
            <w:tcW w:type="dxa" w:w="312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Resource</w:t>
            </w:r>
          </w:p>
        </w:tc>
        <w:tc>
          <w:tcPr>
            <w:tcW w:type="dxa" w:w="260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Budget</w:t>
            </w:r>
          </w:p>
        </w:tc>
        <w:tc>
          <w:tcPr>
            <w:tcW w:type="dxa" w:w="3640"/>
            <w:tcBorders>
              <w:top w:val="single" w:color="D6D2CA" w:sz="1"/>
              <w:left w:val="single" w:color="D6D2CA" w:sz="1"/>
              <w:bottom w:val="single" w:color="D6D2CA" w:sz="1"/>
              <w:right w:val="single" w:color="D6D2CA" w:sz="1"/>
            </w:tcBorders>
            <w:shd w:fill="13294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Enforcement</w:t>
            </w:r>
          </w:p>
        </w:tc>
      </w:tr>
      <w:tr>
        <w:tc>
          <w:tcPr>
            <w:tcW w:type="dxa" w:w="312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Font files (initial load)</w:t>
            </w:r>
          </w:p>
        </w:tc>
        <w:tc>
          <w:tcPr>
            <w:tcW w:type="dxa" w:w="2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 80KB compressed</w:t>
            </w:r>
          </w:p>
        </w:tc>
        <w:tc>
          <w:tcPr>
            <w:tcW w:type="dxa" w:w="364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Build step gate</w:t>
            </w:r>
          </w:p>
        </w:tc>
      </w:tr>
      <w:tr>
        <w:tc>
          <w:tcPr>
            <w:tcW w:type="dxa" w:w="312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JavaScript (initial load)</w:t>
            </w:r>
          </w:p>
        </w:tc>
        <w:tc>
          <w:tcPr>
            <w:tcW w:type="dxa" w:w="2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 100KB compressed</w:t>
            </w:r>
          </w:p>
        </w:tc>
        <w:tc>
          <w:tcPr>
            <w:tcW w:type="dxa" w:w="364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Build step gate</w:t>
            </w:r>
          </w:p>
        </w:tc>
      </w:tr>
      <w:tr>
        <w:tc>
          <w:tcPr>
            <w:tcW w:type="dxa" w:w="312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Hero image (poster frame)</w:t>
            </w:r>
          </w:p>
        </w:tc>
        <w:tc>
          <w:tcPr>
            <w:tcW w:type="dxa" w:w="2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 50KB (WebP/AVIF)</w:t>
            </w:r>
          </w:p>
        </w:tc>
        <w:tc>
          <w:tcPr>
            <w:tcW w:type="dxa" w:w="364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Image pipeline</w:t>
            </w:r>
          </w:p>
        </w:tc>
      </w:tr>
      <w:tr>
        <w:tc>
          <w:tcPr>
            <w:tcW w:type="dxa" w:w="312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Hero video</w:t>
            </w:r>
          </w:p>
        </w:tc>
        <w:tc>
          <w:tcPr>
            <w:tcW w:type="dxa" w:w="2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 5MB (WebM + MP4 fallback)</w:t>
            </w:r>
          </w:p>
        </w:tc>
        <w:tc>
          <w:tcPr>
            <w:tcW w:type="dxa" w:w="364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Compression pipeline</w:t>
            </w:r>
          </w:p>
        </w:tc>
      </w:tr>
      <w:tr>
        <w:tc>
          <w:tcPr>
            <w:tcW w:type="dxa" w:w="312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Total page weight (above fold)</w:t>
            </w:r>
          </w:p>
        </w:tc>
        <w:tc>
          <w:tcPr>
            <w:tcW w:type="dxa" w:w="2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 200KB</w:t>
            </w:r>
          </w:p>
        </w:tc>
        <w:tc>
          <w:tcPr>
            <w:tcW w:type="dxa" w:w="364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Lighthouse CI</w:t>
            </w:r>
          </w:p>
        </w:tc>
      </w:tr>
      <w:tr>
        <w:tc>
          <w:tcPr>
            <w:tcW w:type="dxa" w:w="312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CSS (critical, inlined)</w:t>
            </w:r>
          </w:p>
        </w:tc>
        <w:tc>
          <w:tcPr>
            <w:tcW w:type="dxa" w:w="2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 14KB</w:t>
            </w:r>
          </w:p>
        </w:tc>
        <w:tc>
          <w:tcPr>
            <w:tcW w:type="dxa" w:w="364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Build step</w:t>
            </w:r>
          </w:p>
        </w:tc>
      </w:tr>
      <w:tr>
        <w:tc>
          <w:tcPr>
            <w:tcW w:type="dxa" w:w="312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Images per page</w:t>
            </w:r>
          </w:p>
        </w:tc>
        <w:tc>
          <w:tcPr>
            <w:tcW w:type="dxa" w:w="260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All lazy-loaded below fold</w:t>
            </w:r>
          </w:p>
        </w:tc>
        <w:tc>
          <w:tcPr>
            <w:tcW w:type="dxa" w:w="3640"/>
            <w:tcBorders>
              <w:top w:val="single" w:color="D6D2CA" w:sz="1"/>
              <w:left w:val="single" w:color="D6D2CA" w:sz="1"/>
              <w:bottom w:val="single" w:color="D6D2CA" w:sz="1"/>
              <w:right w:val="single" w:color="D6D2CA" w:sz="1"/>
            </w:tcBorders>
            <w:tcMar>
              <w:top w:type="dxa" w:w="80"/>
              <w:left w:type="dxa" w:w="120"/>
              <w:bottom w:type="dxa" w:w="80"/>
              <w:right w:type="dxa" w:w="120"/>
            </w:tcMar>
          </w:tcPr>
          <w:p>
            <w:pPr>
              <w:jc w:val="left"/>
            </w:pPr>
            <w:r>
              <w:rPr>
                <w:rFonts w:ascii="Arial" w:cs="Arial" w:eastAsia="Arial" w:hAnsi="Arial"/>
                <w:sz w:val="20"/>
                <w:szCs w:val="20"/>
              </w:rPr>
              <w:t xml:space="preserve">Image component</w:t>
            </w:r>
          </w:p>
        </w:tc>
      </w:tr>
    </w:tbl>
    <w:p>
      <w:pPr>
        <w:pStyle w:val="Heading2"/>
      </w:pPr>
      <w:r>
        <w:t xml:space="preserve">7.4 Technical Stack Direction</w:t>
      </w:r>
    </w:p>
    <w:p>
      <w:pPr>
        <w:spacing w:after="160"/>
      </w:pPr>
      <w:r>
        <w:rPr>
          <w:b/>
          <w:bCs/>
        </w:rPr>
        <w:t xml:space="preserve">Status: </w:t>
      </w:r>
      <w:r>
        <w:t xml:space="preserve">The tech stack PRD is a Pass 2 deliverable. The Design System Plan identifies the pipeline: Next.js (or framework TBD per PRD), Supabase (backend, auth, forms), GitHub (CI/CD with Lighthouse gates), and Coolify on KVM V4 (self-hosted deployment). Framework decision is an open question requiring Chris’s input.</w:t>
      </w:r>
    </w:p>
    <w:p>
      <w:pPr>
        <w:spacing w:after="160"/>
      </w:pPr>
      <w:r>
        <w:rPr>
          <w:b/>
          <w:bCs/>
        </w:rPr>
        <w:t xml:space="preserve">Non-negotiables regardless of framework: </w:t>
      </w:r>
      <w:r>
        <w:t xml:space="preserve">Server-side rendering or static generation for every public page. Edge caching. Image optimization pipeline (WebP/AVIF with responsive srcset). Schema markup on every page (JSON-LD). Critical CSS inlined. Font loading with size-adjust fallback stack.</w:t>
      </w:r>
    </w:p>
    <w:p>
      <w:r>
        <w:br w:type="page"/>
      </w:r>
    </w:p>
    <w:p>
      <w:pPr>
        <w:pStyle w:val="Heading1"/>
      </w:pPr>
      <w:r>
        <w:t xml:space="preserve">8. Accessibility Requirements</w:t>
      </w:r>
    </w:p>
    <w:p>
      <w:pPr>
        <w:spacing w:after="160"/>
      </w:pPr>
      <w:r>
        <w:rPr>
          <w:b/>
          <w:bCs/>
        </w:rPr>
        <w:t xml:space="preserve">Floor: </w:t>
      </w:r>
      <w:r>
        <w:t xml:space="preserve">WCAG 2.2 AA. This is not negotiable and is not a post-launch audit item. It is a design input that shapes every decision from color pairing to component interaction.</w:t>
      </w:r>
    </w:p>
    <w:p>
      <w:pPr>
        <w:pStyle w:val="Heading2"/>
      </w:pPr>
      <w:r>
        <w:t xml:space="preserve">8.1 Why Accessibility Is a Competitive Advantage Here</w:t>
      </w:r>
    </w:p>
    <w:p>
      <w:pPr>
        <w:spacing w:after="160"/>
      </w:pPr>
      <w:r>
        <w:t xml:space="preserve">Roofing buyers — especially residential — skew older. Older eyes need real contrast and real type sizes. Older hands need real touch targets. Apple Roofing’s canvas-based map has no keyboard navigation. AHC’s estimate tool has CLS issues that affect screen readers. Supreme’s 15.4s LCP is an accessibility failure in itself — users on slow connections or older devices simply can’t access the site.</w:t>
      </w:r>
    </w:p>
    <w:p>
      <w:pPr>
        <w:spacing w:after="160"/>
      </w:pPr>
      <w:r>
        <w:t xml:space="preserve">The agencies treating accessibility as a checkbox are leaving conversion on the table. We treat it as a moat.</w:t>
      </w:r>
    </w:p>
    <w:p>
      <w:pPr>
        <w:pStyle w:val="Heading2"/>
      </w:pPr>
      <w:r>
        <w:t xml:space="preserve">8.2 Specific Requirements</w:t>
      </w:r>
    </w:p>
    <w:p>
      <w:pPr>
        <w:pStyle w:val="ListParagraph"/>
        <w:numPr>
          <w:ilvl w:val="0"/>
          <w:numId w:val="2"/>
        </w:numPr>
        <w:spacing w:after="100"/>
      </w:pPr>
      <w:r>
        <w:rPr>
          <w:b/>
          <w:bCs/>
        </w:rPr>
        <w:t xml:space="preserve">Contrast: </w:t>
      </w:r>
      <w:r>
        <w:t xml:space="preserve">4.5:1 minimum for normal text, 3:1 for large text (18px+ or 14px+ bold). All pairings pre-approved in the color system’s contrast matrix.</w:t>
      </w:r>
    </w:p>
    <w:p>
      <w:pPr>
        <w:pStyle w:val="ListParagraph"/>
        <w:numPr>
          <w:ilvl w:val="0"/>
          <w:numId w:val="2"/>
        </w:numPr>
        <w:spacing w:after="100"/>
      </w:pPr>
      <w:r>
        <w:rPr>
          <w:b/>
          <w:bCs/>
        </w:rPr>
        <w:t xml:space="preserve">Touch targets: </w:t>
      </w:r>
      <w:r>
        <w:t xml:space="preserve">48px minimum on all interactive elements (WCAG 2.5.8). The Design System enforces this in the mobile nav spec and component library.</w:t>
      </w:r>
    </w:p>
    <w:p>
      <w:pPr>
        <w:pStyle w:val="ListParagraph"/>
        <w:numPr>
          <w:ilvl w:val="0"/>
          <w:numId w:val="2"/>
        </w:numPr>
        <w:spacing w:after="100"/>
      </w:pPr>
      <w:r>
        <w:rPr>
          <w:b/>
          <w:bCs/>
        </w:rPr>
        <w:t xml:space="preserve">Keyboard navigation: </w:t>
      </w:r>
      <w:r>
        <w:t xml:space="preserve">Every interactive element reachable and operable via keyboard. Focus trap inside modal/drawer components. Visible focus indicators using --pe-blue focus ring.</w:t>
      </w:r>
    </w:p>
    <w:p>
      <w:pPr>
        <w:pStyle w:val="ListParagraph"/>
        <w:numPr>
          <w:ilvl w:val="0"/>
          <w:numId w:val="2"/>
        </w:numPr>
        <w:spacing w:after="100"/>
      </w:pPr>
      <w:r>
        <w:rPr>
          <w:b/>
          <w:bCs/>
        </w:rPr>
        <w:t xml:space="preserve">Screen reader: </w:t>
      </w:r>
      <w:r>
        <w:t xml:space="preserve">Semantic HTML throughout. ARIA labels on all non-text interactive elements. SVG map fully labeled. Live regions for dynamic content (form errors, loading states).</w:t>
      </w:r>
    </w:p>
    <w:p>
      <w:pPr>
        <w:pStyle w:val="ListParagraph"/>
        <w:numPr>
          <w:ilvl w:val="0"/>
          <w:numId w:val="2"/>
        </w:numPr>
        <w:spacing w:after="100"/>
      </w:pPr>
      <w:r>
        <w:rPr>
          <w:b/>
          <w:bCs/>
        </w:rPr>
        <w:t xml:space="preserve">Reduced motion: </w:t>
      </w:r>
      <w:r>
        <w:t xml:space="preserve">All animation and transition removed under @media (prefers-reduced-motion: reduce). Site fully functional without motion.</w:t>
      </w:r>
    </w:p>
    <w:p>
      <w:pPr>
        <w:pStyle w:val="ListParagraph"/>
        <w:numPr>
          <w:ilvl w:val="0"/>
          <w:numId w:val="2"/>
        </w:numPr>
        <w:spacing w:after="100"/>
      </w:pPr>
      <w:r>
        <w:rPr>
          <w:b/>
          <w:bCs/>
        </w:rPr>
        <w:t xml:space="preserve">Type sizing: </w:t>
      </w:r>
      <w:r>
        <w:t xml:space="preserve">Minimum 16px body, 14px captions. No text below 12px anywhere on the site. All type set in rem, not px, so it respects user browser settings.</w:t>
      </w:r>
    </w:p>
    <w:p>
      <w:r>
        <w:br w:type="page"/>
      </w:r>
    </w:p>
    <w:p>
      <w:pPr>
        <w:pStyle w:val="Heading1"/>
      </w:pPr>
      <w:r>
        <w:t xml:space="preserve">9. Measurement Framework [Pass 2]</w:t>
      </w:r>
    </w:p>
    <w:p>
      <w:pPr>
        <w:spacing w:after="160"/>
      </w:pPr>
      <w:r>
        <w:rPr>
          <w:b/>
          <w:bCs/>
        </w:rPr>
        <w:t xml:space="preserve">Status: </w:t>
      </w:r>
      <w:r>
        <w:t xml:space="preserve">This section will be fully developed in Pass 2 once the KPI tree, event taxonomy, and Year-1 growth model are complete. The strategic mandate is established here.</w:t>
      </w:r>
    </w:p>
    <w:p>
      <w:pPr>
        <w:pStyle w:val="Heading2"/>
      </w:pPr>
      <w:r>
        <w:t xml:space="preserve">9.1 The Non-Negotiable</w:t>
      </w:r>
    </w:p>
    <w:p>
      <w:pPr>
        <w:pBdr>
          <w:left w:val="single" w:color="EAA221" w:sz="12" w:space="8"/>
        </w:pBdr>
        <w:spacing w:after="160" w:before="160"/>
        <w:ind w:left="360"/>
      </w:pPr>
      <w:r>
        <w:rPr>
          <w:i/>
          <w:iCs/>
          <w:color w:val="13294B"/>
          <w:sz w:val="21"/>
          <w:szCs w:val="21"/>
        </w:rPr>
        <w:t xml:space="preserve">Every page ships with events, goals, and a hypothesis written down before launch. This is non-negotiable. We cannot compound what we did not measure from day one.</w:t>
      </w:r>
    </w:p>
    <w:p>
      <w:pPr>
        <w:spacing w:after="160"/>
      </w:pPr>
      <w:r>
        <w:t xml:space="preserve">The measurement framework will include: a KPI tree tied to the retainer renewal metrics, an event taxonomy for every CTA/form/interaction, goal definitions for each conversion path, a hypothesis format for A/B tests, the first 90-day testing roadmap, a monthly reporting template, and the Year-1 growth model showing the path to 20–30%.</w:t>
      </w:r>
    </w:p>
    <w:p>
      <w:pPr>
        <w:pStyle w:val="Heading2"/>
      </w:pPr>
      <w:r>
        <w:t xml:space="preserve">9.2 What We Know Today</w:t>
      </w:r>
    </w:p>
    <w:p>
      <w:pPr>
        <w:pStyle w:val="ListParagraph"/>
        <w:numPr>
          <w:ilvl w:val="0"/>
          <w:numId w:val="2"/>
        </w:numPr>
        <w:spacing w:after="100"/>
      </w:pPr>
      <w:r>
        <w:rPr>
          <w:b/>
          <w:bCs/>
        </w:rPr>
        <w:t xml:space="preserve">Three conversion paths to measure: </w:t>
      </w:r>
      <w:r>
        <w:t xml:space="preserve">Commercial RFQ, residential urgent/leak, residential planned replacement. Each needs distinct goal definitions and quality scoring.</w:t>
      </w:r>
    </w:p>
    <w:p>
      <w:pPr>
        <w:pStyle w:val="ListParagraph"/>
        <w:numPr>
          <w:ilvl w:val="0"/>
          <w:numId w:val="2"/>
        </w:numPr>
        <w:spacing w:after="100"/>
      </w:pPr>
      <w:r>
        <w:rPr>
          <w:b/>
          <w:bCs/>
        </w:rPr>
        <w:t xml:space="preserve">Baseline is near-zero: </w:t>
      </w:r>
      <w:r>
        <w:t xml:space="preserve">The current site generates almost no organic traffic and no qualified leads. Every metric we establish post-launch will be net-new ground.</w:t>
      </w:r>
    </w:p>
    <w:p>
      <w:pPr>
        <w:pStyle w:val="ListParagraph"/>
        <w:numPr>
          <w:ilvl w:val="0"/>
          <w:numId w:val="2"/>
        </w:numPr>
        <w:spacing w:after="100"/>
      </w:pPr>
      <w:r>
        <w:rPr>
          <w:b/>
          <w:bCs/>
        </w:rPr>
        <w:t xml:space="preserve">A/B testing infrastructure ships with the build: </w:t>
      </w:r>
      <w:r>
        <w:t xml:space="preserve">The tech stack will include A/B testing capability from day one. We’re not bolting it on later.</w:t>
      </w:r>
    </w:p>
    <w:p>
      <w:pPr>
        <w:pStyle w:val="Heading1"/>
      </w:pPr>
      <w:r>
        <w:t xml:space="preserve">10. 12-Month SEO Attack Plan [Pass 2]</w:t>
      </w:r>
    </w:p>
    <w:p>
      <w:pPr>
        <w:spacing w:after="160"/>
      </w:pPr>
      <w:r>
        <w:rPr>
          <w:b/>
          <w:bCs/>
        </w:rPr>
        <w:t xml:space="preserve">Status: </w:t>
      </w:r>
      <w:r>
        <w:t xml:space="preserve">A full 12-month SEO attack plan is being developed as a parallel workstream. It will be integrated into the brief as a Pass 2 section once complete.</w:t>
      </w:r>
    </w:p>
    <w:p>
      <w:pPr>
        <w:spacing w:after="160"/>
      </w:pPr>
      <w:r>
        <w:t xml:space="preserve">The plan will build on the competitive keyword data already staged (19 CSVs covering 10+ competitors) and the gap analysis from the Competitive &amp; Structural Analysis. Expected deliverables: keyword research and opportunity map for all Pro Exteriors service geos, pillar page strategy for top 5 commercial + top 5 residential intent clusters, editorial calendar (12 months minimum, 10 posts/month target), local SEO playbook for location pages, schema markup spec, and link acquisition strategy.</w:t>
      </w:r>
    </w:p>
    <w:p>
      <w:r>
        <w:br w:type="page"/>
      </w:r>
    </w:p>
    <w:p>
      <w:pPr>
        <w:pStyle w:val="Heading1"/>
      </w:pPr>
      <w:r>
        <w:t xml:space="preserve">11. Governance &amp; Approvals</w:t>
      </w:r>
    </w:p>
    <w:p>
      <w:pPr>
        <w:pStyle w:val="Heading2"/>
      </w:pPr>
      <w:r>
        <w:t xml:space="preserve">11.1 Two-Pass Delivery Model</w:t>
      </w:r>
    </w:p>
    <w:p>
      <w:pPr>
        <w:spacing w:after="160"/>
      </w:pPr>
      <w:r>
        <w:rPr>
          <w:b/>
          <w:bCs/>
        </w:rPr>
        <w:t xml:space="preserve">Pass 1 (this document): </w:t>
      </w:r>
      <w:r>
        <w:t xml:space="preserve">Engagement context, reference site analysis, competitive positioning, brand expression, information architecture, design system scope, performance/technical requirements, and accessibility. Delivered April 12, 2026.</w:t>
      </w:r>
    </w:p>
    <w:p>
      <w:pPr>
        <w:spacing w:after="160"/>
      </w:pPr>
      <w:r>
        <w:rPr>
          <w:b/>
          <w:bCs/>
        </w:rPr>
        <w:t xml:space="preserve">Pass 2 (pending inputs): </w:t>
      </w:r>
      <w:r>
        <w:t xml:space="preserve">Audience architecture (after stakeholder interviews), conversion path design, content strategy, full SEO attack plan (12-month), technical stack PRD, measurement framework, and governance RACI. Target: end of April 2026, contingent on client inputs.</w:t>
      </w:r>
    </w:p>
    <w:p>
      <w:pPr>
        <w:pStyle w:val="Heading2"/>
      </w:pPr>
      <w:r>
        <w:t xml:space="preserve">11.2 Decision Authority</w:t>
      </w:r>
    </w:p>
    <w:p>
      <w:pPr>
        <w:spacing w:after="160"/>
      </w:pPr>
      <w:r>
        <w:rPr>
          <w:b/>
          <w:bCs/>
        </w:rPr>
        <w:t xml:space="preserve">Pending: </w:t>
      </w:r>
      <w:r>
        <w:t xml:space="preserve">Client-side RACI needs to be established. We need to know who at Pro Exteriors approves design, content, and technical decisions, and who has veto power. This is a Pass 2 deliverable but should be resolved as early as possible to avoid bottlenecks.</w:t>
      </w:r>
    </w:p>
    <w:p>
      <w:pPr>
        <w:spacing w:after="160"/>
      </w:pPr>
      <w:r>
        <w:rPr>
          <w:b/>
          <w:bCs/>
        </w:rPr>
        <w:t xml:space="preserve">AIA4 side: </w:t>
      </w:r>
      <w:r>
        <w:t xml:space="preserve">Maren Castellan-Reyes has final authority on all design, UX, conversion architecture, and performance decisions. Chris Hussey is the client relationship lead and the conduit for all stakeholder communication.</w:t>
      </w:r>
    </w:p>
    <w:p>
      <w:pPr>
        <w:pStyle w:val="Heading2"/>
      </w:pPr>
      <w:r>
        <w:t xml:space="preserve">11.3 Hard Gates (from CLAUDE.md)</w:t>
      </w:r>
    </w:p>
    <w:p>
      <w:pPr>
        <w:spacing w:after="160"/>
      </w:pPr>
      <w:r>
        <w:t xml:space="preserve">The following gates are non-negotiable and apply to every deliverable on this engagement:</w:t>
      </w:r>
    </w:p>
    <w:p>
      <w:pPr>
        <w:pStyle w:val="ListParagraph"/>
        <w:numPr>
          <w:ilvl w:val="0"/>
          <w:numId w:val="2"/>
        </w:numPr>
        <w:spacing w:after="100"/>
      </w:pPr>
      <w:r>
        <w:t xml:space="preserve">No page ships without green Core Web Vitals (LCP &lt; 2.5s, CLS &lt; 0.1, INP &lt; 200ms)</w:t>
      </w:r>
    </w:p>
    <w:p>
      <w:pPr>
        <w:pStyle w:val="ListParagraph"/>
        <w:numPr>
          <w:ilvl w:val="0"/>
          <w:numId w:val="2"/>
        </w:numPr>
        <w:spacing w:after="100"/>
      </w:pPr>
      <w:r>
        <w:t xml:space="preserve">No page ships without WCAG 2.2 AA compliance</w:t>
      </w:r>
    </w:p>
    <w:p>
      <w:pPr>
        <w:pStyle w:val="ListParagraph"/>
        <w:numPr>
          <w:ilvl w:val="0"/>
          <w:numId w:val="2"/>
        </w:numPr>
        <w:spacing w:after="100"/>
      </w:pPr>
      <w:r>
        <w:t xml:space="preserve">No page ships without schema markup (JSON-LD)</w:t>
      </w:r>
    </w:p>
    <w:p>
      <w:pPr>
        <w:pStyle w:val="ListParagraph"/>
        <w:numPr>
          <w:ilvl w:val="0"/>
          <w:numId w:val="2"/>
        </w:numPr>
        <w:spacing w:after="100"/>
      </w:pPr>
      <w:r>
        <w:t xml:space="preserve">No page ships without events, goals, and a written hypothesis</w:t>
      </w:r>
    </w:p>
    <w:p>
      <w:pPr>
        <w:pStyle w:val="ListParagraph"/>
        <w:numPr>
          <w:ilvl w:val="0"/>
          <w:numId w:val="2"/>
        </w:numPr>
        <w:spacing w:after="100"/>
      </w:pPr>
      <w:r>
        <w:t xml:space="preserve">No stock photography, ever</w:t>
      </w:r>
    </w:p>
    <w:p>
      <w:pPr>
        <w:pStyle w:val="ListParagraph"/>
        <w:numPr>
          <w:ilvl w:val="0"/>
          <w:numId w:val="2"/>
        </w:numPr>
        <w:spacing w:after="100"/>
      </w:pPr>
      <w:r>
        <w:t xml:space="preserve">No social proof unless it’s real and verifiable</w:t>
      </w:r>
    </w:p>
    <w:p>
      <w:pPr>
        <w:pStyle w:val="ListParagraph"/>
        <w:numPr>
          <w:ilvl w:val="0"/>
          <w:numId w:val="2"/>
        </w:numPr>
        <w:spacing w:after="100"/>
      </w:pPr>
      <w:r>
        <w:t xml:space="preserve">No statistics unless we can source them</w:t>
      </w:r>
    </w:p>
    <w:p>
      <w:pPr>
        <w:pStyle w:val="ListParagraph"/>
        <w:numPr>
          <w:ilvl w:val="0"/>
          <w:numId w:val="2"/>
        </w:numPr>
        <w:spacing w:after="100"/>
      </w:pPr>
      <w:r>
        <w:t xml:space="preserve">No case studies unless the client has signed off in writing</w:t>
      </w:r>
    </w:p>
    <w:p>
      <w:pPr>
        <w:pStyle w:val="Heading2"/>
      </w:pPr>
      <w:r>
        <w:t xml:space="preserve">11.4 Open Inputs for Pass 2</w:t>
      </w:r>
    </w:p>
    <w:p>
      <w:pPr>
        <w:spacing w:after="160"/>
      </w:pPr>
      <w:r>
        <w:t xml:space="preserve">The following items are needed from the client to complete Pass 2:</w:t>
      </w:r>
    </w:p>
    <w:p>
      <w:pPr>
        <w:pStyle w:val="ListParagraph"/>
        <w:numPr>
          <w:ilvl w:val="0"/>
          <w:numId w:val="3"/>
        </w:numPr>
        <w:spacing w:after="100"/>
      </w:pPr>
      <w:r>
        <w:rPr>
          <w:b/>
          <w:bCs/>
        </w:rPr>
        <w:t xml:space="preserve">Centerpoint platform details </w:t>
      </w:r>
      <w:r>
        <w:t xml:space="preserve">— product name, URL, integration docs (blocks tech stack PRD)</w:t>
      </w:r>
    </w:p>
    <w:p>
      <w:pPr>
        <w:pStyle w:val="ListParagraph"/>
        <w:numPr>
          <w:ilvl w:val="0"/>
          <w:numId w:val="3"/>
        </w:numPr>
        <w:spacing w:after="100"/>
      </w:pPr>
      <w:r>
        <w:rPr>
          <w:b/>
          <w:bCs/>
        </w:rPr>
        <w:t xml:space="preserve">Residential service content </w:t>
      </w:r>
      <w:r>
        <w:t xml:space="preserve">— descriptions, pricing approach, warranty details (blocks content strategy)</w:t>
      </w:r>
    </w:p>
    <w:p>
      <w:pPr>
        <w:pStyle w:val="ListParagraph"/>
        <w:numPr>
          <w:ilvl w:val="0"/>
          <w:numId w:val="3"/>
        </w:numPr>
        <w:spacing w:after="100"/>
      </w:pPr>
      <w:r>
        <w:rPr>
          <w:b/>
          <w:bCs/>
        </w:rPr>
        <w:t xml:space="preserve">Case study content and permissions </w:t>
      </w:r>
      <w:r>
        <w:t xml:space="preserve">— signed-off project details (blocks portfolio section)</w:t>
      </w:r>
    </w:p>
    <w:p>
      <w:pPr>
        <w:pStyle w:val="ListParagraph"/>
        <w:numPr>
          <w:ilvl w:val="0"/>
          <w:numId w:val="3"/>
        </w:numPr>
        <w:spacing w:after="100"/>
      </w:pPr>
      <w:r>
        <w:rPr>
          <w:b/>
          <w:bCs/>
        </w:rPr>
        <w:t xml:space="preserve">Team/leadership headshots </w:t>
      </w:r>
      <w:r>
        <w:t xml:space="preserve">— needed for About section design</w:t>
      </w:r>
    </w:p>
    <w:p>
      <w:pPr>
        <w:pStyle w:val="ListParagraph"/>
        <w:numPr>
          <w:ilvl w:val="0"/>
          <w:numId w:val="3"/>
        </w:numPr>
        <w:spacing w:after="100"/>
      </w:pPr>
      <w:r>
        <w:rPr>
          <w:b/>
          <w:bCs/>
        </w:rPr>
        <w:t xml:space="preserve">Residential photography </w:t>
      </w:r>
      <w:r>
        <w:t xml:space="preserve">— needed for residential proof system</w:t>
      </w:r>
    </w:p>
    <w:p>
      <w:pPr>
        <w:pStyle w:val="ListParagraph"/>
        <w:numPr>
          <w:ilvl w:val="0"/>
          <w:numId w:val="3"/>
        </w:numPr>
        <w:spacing w:after="100"/>
      </w:pPr>
      <w:r>
        <w:rPr>
          <w:b/>
          <w:bCs/>
        </w:rPr>
        <w:t xml:space="preserve">Google review access </w:t>
      </w:r>
      <w:r>
        <w:t xml:space="preserve">— API key or GBP access for live integration</w:t>
      </w:r>
    </w:p>
    <w:p>
      <w:pPr>
        <w:pStyle w:val="ListParagraph"/>
        <w:numPr>
          <w:ilvl w:val="0"/>
          <w:numId w:val="3"/>
        </w:numPr>
        <w:spacing w:after="100"/>
      </w:pPr>
      <w:r>
        <w:rPr>
          <w:b/>
          <w:bCs/>
        </w:rPr>
        <w:t xml:space="preserve">Typography preferences </w:t>
      </w:r>
      <w:r>
        <w:t xml:space="preserve">— existing brand fonts or permission to define</w:t>
      </w:r>
    </w:p>
    <w:p>
      <w:pPr>
        <w:pStyle w:val="ListParagraph"/>
        <w:numPr>
          <w:ilvl w:val="0"/>
          <w:numId w:val="3"/>
        </w:numPr>
        <w:spacing w:after="100"/>
      </w:pPr>
      <w:r>
        <w:rPr>
          <w:b/>
          <w:bCs/>
        </w:rPr>
        <w:t xml:space="preserve">Stakeholder RACI </w:t>
      </w:r>
      <w:r>
        <w:t xml:space="preserve">— who approves what at Pro Exteriors</w:t>
      </w:r>
    </w:p>
    <w:p>
      <w:pPr>
        <w:pStyle w:val="ListParagraph"/>
        <w:numPr>
          <w:ilvl w:val="0"/>
          <w:numId w:val="3"/>
        </w:numPr>
        <w:spacing w:after="100"/>
      </w:pPr>
      <w:r>
        <w:rPr>
          <w:b/>
          <w:bCs/>
        </w:rPr>
        <w:t xml:space="preserve">Framework preference </w:t>
      </w:r>
      <w:r>
        <w:t xml:space="preserve">— Next.js vs. Astro vs. Remix</w:t>
      </w:r>
    </w:p>
    <w:p>
      <w:pPr>
        <w:pStyle w:val="ListParagraph"/>
        <w:numPr>
          <w:ilvl w:val="0"/>
          <w:numId w:val="3"/>
        </w:numPr>
        <w:spacing w:after="100"/>
      </w:pPr>
      <w:r>
        <w:rPr>
          <w:b/>
          <w:bCs/>
        </w:rPr>
        <w:t xml:space="preserve">CMS preference </w:t>
      </w:r>
      <w:r>
        <w:t xml:space="preserve">— Sanity vs. Strapi vs. Supabase-native</w:t>
      </w:r>
    </w:p>
    <w:p>
      <w:pPr>
        <w:pStyle w:val="ListParagraph"/>
        <w:numPr>
          <w:ilvl w:val="0"/>
          <w:numId w:val="3"/>
        </w:numPr>
        <w:spacing w:after="100"/>
      </w:pPr>
      <w:r>
        <w:rPr>
          <w:b/>
          <w:bCs/>
        </w:rPr>
        <w:t xml:space="preserve">Typography budget </w:t>
      </w:r>
      <w:r>
        <w:t xml:space="preserve">— commercial license available or open-source only</w:t>
      </w:r>
    </w:p>
    <w:p>
      <w:pPr>
        <w:spacing w:before="400"/>
      </w:pPr>
    </w:p>
    <w:p>
      <w:pPr>
        <w:pBdr>
          <w:top w:val="single" w:color="13294B" w:sz="6" w:space="12"/>
        </w:pBdr>
        <w:spacing w:after="200" w:before="200"/>
        <w:jc w:val="center"/>
      </w:pPr>
      <w:r>
        <w:rPr>
          <w:b/>
          <w:bCs/>
          <w:color w:val="A33327"/>
          <w:spacing w:val="200"/>
          <w:sz w:val="18"/>
          <w:szCs w:val="18"/>
        </w:rPr>
        <w:t xml:space="preserve">THE NORTH STAR</w:t>
      </w:r>
    </w:p>
    <w:p>
      <w:pPr>
        <w:spacing w:after="120"/>
        <w:jc w:val="center"/>
      </w:pPr>
      <w:r>
        <w:rPr>
          <w:i/>
          <w:iCs/>
          <w:color w:val="13294B"/>
          <w:sz w:val="22"/>
          <w:szCs w:val="22"/>
        </w:rPr>
        <w:t xml:space="preserve">Pro Exteriors hired us to turn a website that exists for the CEO’s ego into a website that exists for the company’s growth. Five years from now, the marketing director should walk into a board meeting and say, “30% of new revenue this year came through the site, and the site won three awards while doing it.”</w:t>
      </w:r>
    </w:p>
    <w:p>
      <w:pPr>
        <w:jc w:val="center"/>
      </w:pPr>
      <w:r>
        <w:rPr>
          <w:i/>
          <w:iCs/>
          <w:color w:val="13294B"/>
          <w:sz w:val="22"/>
          <w:szCs w:val="22"/>
        </w:rPr>
        <w:t xml:space="preserve">Everything in this brief gets measured against whether it gets us closer to that sentence.</w:t>
      </w:r>
    </w:p>
    <w:p>
      <w:pPr>
        <w:spacing w:before="200"/>
      </w:pPr>
    </w:p>
    <w:p>
      <w:pPr>
        <w:pBdr>
          <w:top w:val="single" w:color="D6D2CA" w:sz="4" w:space="8"/>
        </w:pBdr>
        <w:spacing w:before="200"/>
      </w:pPr>
      <w:r>
        <w:rPr>
          <w:i/>
          <w:iCs/>
          <w:color w:val="666666"/>
          <w:sz w:val="20"/>
          <w:szCs w:val="20"/>
        </w:rPr>
        <w:t xml:space="preserve">End of Pass 1. Awaiting client inputs and SEO attack plan to begin Pass 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2CA" w:sz="4" w:space="4"/>
      </w:pBdr>
      <w:tabs>
        <w:tab w:val="right" w:pos="9026"/>
      </w:tabs>
    </w:pPr>
    <w:r>
      <w:rPr>
        <w:rFonts w:ascii="Arial" w:cs="Arial" w:eastAsia="Arial" w:hAnsi="Arial"/>
        <w:color w:val="999999"/>
        <w:sz w:val="14"/>
        <w:szCs w:val="14"/>
      </w:rPr>
      <w:t xml:space="preserve">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3294B" w:sz="4" w:space="4"/>
      </w:pBdr>
      <w:tabs>
        <w:tab w:val="right" w:pos="9026"/>
      </w:tabs>
    </w:pPr>
    <w:r>
      <w:rPr>
        <w:rFonts w:ascii="Arial" w:cs="Arial" w:eastAsia="Arial" w:hAnsi="Arial"/>
        <w:color w:val="999999"/>
        <w:sz w:val="16"/>
        <w:szCs w:val="16"/>
      </w:rPr>
      <w:t xml:space="preserve">Pro Exteriors — Website Design Brief (Pass 1)</w:t>
    </w:r>
    <w:r>
      <w:rPr>
        <w:rFonts w:ascii="Arial" w:cs="Arial" w:eastAsia="Arial" w:hAnsi="Arial"/>
        <w:color w:val="999999"/>
        <w:sz w:val="16"/>
        <w:szCs w:val="16"/>
      </w:rPr>
      <w:t xml:space="preserve">	AIA4 Pro Exteriors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3294B"/>
      <w:sz w:val="34"/>
      <w:szCs w:val="34"/>
    </w:rPr>
  </w:style>
  <w:style w:type="paragraph" w:styleId="Heading2">
    <w:name w:val="Heading 2"/>
    <w:basedOn w:val="Normal"/>
    <w:next w:val="Normal"/>
    <w:qFormat/>
    <w:pPr>
      <w:spacing w:after="180" w:before="320"/>
      <w:outlineLvl w:val="1"/>
    </w:pPr>
    <w:rPr>
      <w:rFonts w:ascii="Arial" w:cs="Arial" w:eastAsia="Arial" w:hAnsi="Arial"/>
      <w:b/>
      <w:bCs/>
      <w:color w:val="13294B"/>
      <w:sz w:val="28"/>
      <w:szCs w:val="28"/>
    </w:rPr>
  </w:style>
  <w:style w:type="paragraph" w:styleId="Heading3">
    <w:name w:val="Heading 3"/>
    <w:basedOn w:val="Normal"/>
    <w:next w:val="Normal"/>
    <w:qFormat/>
    <w:pPr>
      <w:spacing w:after="140" w:before="240"/>
      <w:outlineLvl w:val="2"/>
    </w:pPr>
    <w:rPr>
      <w:rFonts w:ascii="Arial" w:cs="Arial" w:eastAsia="Arial" w:hAnsi="Arial"/>
      <w:b/>
      <w:bCs/>
      <w:color w:val="A333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2026-04-12T08:37:33.919Z</dcterms:created>
  <dcterms:modified xsi:type="dcterms:W3CDTF">2026-04-12T08:37:33.920Z</dcterms:modified>
</cp:coreProperties>
</file>

<file path=docProps/custom.xml><?xml version="1.0" encoding="utf-8"?>
<Properties xmlns="http://schemas.openxmlformats.org/officeDocument/2006/custom-properties" xmlns:vt="http://schemas.openxmlformats.org/officeDocument/2006/docPropsVTypes"/>
</file>