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80"/>
        <w:jc w:val="center"/>
      </w:pPr>
      <w:r>
        <w:rPr>
          <w:rFonts w:ascii="Arial" w:cs="Arial" w:eastAsia="Arial" w:hAnsi="Arial"/>
          <w:b/>
          <w:bCs/>
          <w:color w:val="A33327"/>
          <w:spacing w:val="200"/>
          <w:sz w:val="20"/>
          <w:szCs w:val="20"/>
        </w:rPr>
        <w:t xml:space="preserve">AIA4 PRO EXTERIORS</w:t>
      </w:r>
    </w:p>
    <w:p>
      <w:pPr>
        <w:spacing w:after="40"/>
        <w:jc w:val="center"/>
      </w:pPr>
      <w:r>
        <w:rPr>
          <w:rFonts w:ascii="Arial" w:cs="Arial" w:eastAsia="Arial" w:hAnsi="Arial"/>
          <w:b/>
          <w:bCs/>
          <w:color w:val="13294B"/>
          <w:sz w:val="48"/>
          <w:szCs w:val="48"/>
        </w:rPr>
        <w:t xml:space="preserve">Website Design Brief</w:t>
      </w:r>
    </w:p>
    <w:p>
      <w:pPr>
        <w:spacing w:after="40"/>
        <w:jc w:val="center"/>
      </w:pPr>
      <w:r>
        <w:rPr>
          <w:rFonts w:ascii="Arial" w:cs="Arial" w:eastAsia="Arial" w:hAnsi="Arial"/>
          <w:color w:val="13294B"/>
          <w:sz w:val="36"/>
          <w:szCs w:val="36"/>
        </w:rPr>
        <w:t xml:space="preserve">Scope &amp; Structure</w:t>
      </w:r>
    </w:p>
    <w:p>
      <w:pPr>
        <w:pBdr>
          <w:bottom w:val="single" w:color="EAA221" w:sz="6" w:space="12"/>
        </w:pBdr>
        <w:spacing w:after="600"/>
        <w:jc w:val="center"/>
      </w:pPr>
      <w:r>
        <w:rPr>
          <w:rFonts w:ascii="Arial" w:cs="Arial" w:eastAsia="Arial" w:hAnsi="Arial"/>
          <w:color w:val="666666"/>
          <w:sz w:val="22"/>
          <w:szCs w:val="22"/>
        </w:rPr>
        <w:t xml:space="preserve">What the brief will contain, what inputs we have, and what we still need</w:t>
      </w:r>
    </w:p>
    <w:p>
      <w:pPr>
        <w:spacing w:before="1200"/>
      </w:pPr>
    </w:p>
    <w:p>
      <w:pPr>
        <w:spacing w:after="80"/>
        <w:jc w:val="center"/>
      </w:pPr>
      <w:r>
        <w:rPr>
          <w:rFonts w:ascii="Arial" w:cs="Arial" w:eastAsia="Arial" w:hAnsi="Arial"/>
          <w:color w:val="666666"/>
          <w:sz w:val="22"/>
          <w:szCs w:val="22"/>
        </w:rPr>
        <w:t xml:space="preserve">April 12, 2026</w:t>
      </w:r>
    </w:p>
    <w:p>
      <w:pPr>
        <w:spacing w:after="40"/>
        <w:jc w:val="center"/>
      </w:pPr>
      <w:r>
        <w:rPr>
          <w:rFonts w:ascii="Arial" w:cs="Arial" w:eastAsia="Arial" w:hAnsi="Arial"/>
          <w:sz w:val="22"/>
          <w:szCs w:val="22"/>
        </w:rPr>
        <w:t xml:space="preserve">Prepared by: Maren Solveig Castellan-Reyes</w:t>
      </w:r>
    </w:p>
    <w:p>
      <w:pPr>
        <w:spacing w:after="400"/>
        <w:jc w:val="center"/>
      </w:pPr>
      <w:r>
        <w:rPr>
          <w:rFonts w:ascii="Arial" w:cs="Arial" w:eastAsia="Arial" w:hAnsi="Arial"/>
          <w:color w:val="666666"/>
          <w:sz w:val="20"/>
          <w:szCs w:val="20"/>
        </w:rPr>
        <w:t xml:space="preserve">Senior Director, Website &amp; Application Experience</w:t>
      </w:r>
    </w:p>
    <w:p>
      <w:pPr>
        <w:jc w:val="center"/>
      </w:pPr>
      <w:r>
        <w:rPr>
          <w:rFonts w:ascii="Arial" w:cs="Arial" w:eastAsia="Arial" w:hAnsi="Arial"/>
          <w:b/>
          <w:bCs/>
          <w:color w:val="A33327"/>
          <w:spacing w:val="120"/>
          <w:sz w:val="18"/>
          <w:szCs w:val="18"/>
        </w:rPr>
        <w:t xml:space="preserve">SCOPE DOCUMENT — PENDING APPROVAL</w:t>
      </w:r>
    </w:p>
    <w:p>
      <w:pPr>
        <w:sectPr>
          <w:pgSz w:w="12240" w:h="15840" w:orient="portrait"/>
          <w:pgMar w:top="1440" w:right="1440" w:bottom="1440" w:left="1440" w:header="708" w:footer="708" w:gutter="0"/>
          <w:pgNumType/>
          <w:docGrid w:linePitch="360"/>
        </w:sectPr>
      </w:pPr>
    </w:p>
    <w:p>
      <w:pPr>
        <w:pStyle w:val="Heading1"/>
      </w:pPr>
      <w:r>
        <w:t xml:space="preserve">1. Purpose of This Document</w:t>
      </w:r>
    </w:p>
    <w:p>
      <w:pPr>
        <w:spacing w:after="160"/>
      </w:pPr>
      <w:r>
        <w:t xml:space="preserve">This document scopes the Website Design Brief for Pro Exteriors. It defines every section the brief will contain, identifies what inputs we already have versus what we still need, and flags blockers that must be resolved before the brief can be written.</w:t>
      </w:r>
    </w:p>
    <w:p>
      <w:pPr>
        <w:spacing w:after="160"/>
      </w:pPr>
      <w:r>
        <w:t xml:space="preserve">The brief is the decision document. Once approved, every wireframe, design comp, line of code, and A/B test hypothesis gets measured against it. Getting the scope right means the brief itself will be tight, defensible, and actionable.</w:t>
      </w:r>
    </w:p>
    <w:p>
      <w:pPr>
        <w:pStyle w:val="Heading1"/>
      </w:pPr>
      <w:r>
        <w:t xml:space="preserve">2. Two-Artifact Model</w:t>
      </w:r>
    </w:p>
    <w:p>
      <w:pPr>
        <w:spacing w:after="160"/>
      </w:pPr>
      <w:r>
        <w:t xml:space="preserve">The brief and the design system are separate documents with different audiences and different approval paths. This is a deliberate structural decision, not a shortcut.</w:t>
      </w:r>
    </w:p>
    <w:p>
      <w:pPr>
        <w:pStyle w:val="Heading2"/>
      </w:pPr>
      <w:r>
        <w:t xml:space="preserve">The Brief (This Scope)</w:t>
      </w:r>
    </w:p>
    <w:p>
      <w:pPr>
        <w:spacing w:after="160"/>
      </w:pPr>
      <w:r>
        <w:rPr>
          <w:b/>
          <w:bCs/>
        </w:rPr>
        <w:t xml:space="preserve">Audience: </w:t>
      </w:r>
      <w:r>
        <w:t xml:space="preserve">CEO, stakeholders, marketing lead, sales lead. Non-designers who need to say </w:t>
      </w:r>
      <w:r>
        <w:rPr>
          <w:i/>
          <w:iCs/>
        </w:rPr>
        <w:t xml:space="preserve">"yes, this is the right strategy for our business."</w:t>
      </w:r>
    </w:p>
    <w:p>
      <w:pPr>
        <w:spacing w:after="160"/>
      </w:pPr>
      <w:r>
        <w:rPr>
          <w:b/>
          <w:bCs/>
        </w:rPr>
        <w:t xml:space="preserve">Contains: </w:t>
      </w:r>
      <w:r>
        <w:t xml:space="preserve">Strategic direction, audience definitions, competitive positioning, conversion architecture, content strategy, measurement framework, technical requirements, and governance.</w:t>
      </w:r>
    </w:p>
    <w:p>
      <w:pPr>
        <w:spacing w:after="160"/>
      </w:pPr>
      <w:r>
        <w:rPr>
          <w:b/>
          <w:bCs/>
        </w:rPr>
        <w:t xml:space="preserve">Does not contain: </w:t>
      </w:r>
      <w:r>
        <w:t xml:space="preserve">Token values, kern tables, component anatomy, padding specs, or anything that requires a design education to evaluate.</w:t>
      </w:r>
    </w:p>
    <w:p>
      <w:pPr>
        <w:pStyle w:val="Heading2"/>
      </w:pPr>
      <w:r>
        <w:t xml:space="preserve">The Design System (Scoped in Section 12)</w:t>
      </w:r>
    </w:p>
    <w:p>
      <w:pPr>
        <w:spacing w:after="160"/>
      </w:pPr>
      <w:r>
        <w:rPr>
          <w:b/>
          <w:bCs/>
        </w:rPr>
        <w:t xml:space="preserve">Audience: </w:t>
      </w:r>
      <w:r>
        <w:t xml:space="preserve">Design team, engineering team, QA. People who build things.</w:t>
      </w:r>
    </w:p>
    <w:p>
      <w:pPr>
        <w:spacing w:after="160"/>
      </w:pPr>
      <w:r>
        <w:rPr>
          <w:b/>
          <w:bCs/>
        </w:rPr>
        <w:t xml:space="preserve">Contains: </w:t>
      </w:r>
      <w:r>
        <w:t xml:space="preserve">Typography scale with optical sizing and kern rules, spacing tokens (gap, margin, padding, white space), full component library (buttons, service cards, portfolio cards, support pills, forms, mobile bottom nav bar, CTAs), color-as-navigation system with accessibility-validated palettes, responsive breakpoint behavior, motion specifications, and every granular rule needed to build and maintain the site without asking a designer.</w:t>
      </w:r>
    </w:p>
    <w:p>
      <w:pPr>
        <w:spacing w:after="160"/>
      </w:pPr>
      <w:r>
        <w:rPr>
          <w:b/>
          <w:bCs/>
        </w:rPr>
        <w:t xml:space="preserve">Relationship: </w:t>
      </w:r>
      <w:r>
        <w:t xml:space="preserve">The brief sets the strategic intent. The design system executes it. The brief says </w:t>
      </w:r>
      <w:r>
        <w:rPr>
          <w:i/>
          <w:iCs/>
        </w:rPr>
        <w:t xml:space="preserve">"type must be readable for users 45+ on mobile in direct sunlight."</w:t>
      </w:r>
      <w:r>
        <w:t xml:space="preserve"> The design system says </w:t>
      </w:r>
      <w:r>
        <w:rPr>
          <w:i/>
          <w:iCs/>
        </w:rPr>
        <w:t xml:space="preserve">"body is 18/28 Inter Regular, minimum contrast 7:1 on all surfaces."</w:t>
      </w:r>
    </w:p>
    <w:p>
      <w:r>
        <w:br w:type="page"/>
      </w:r>
    </w:p>
    <w:p>
      <w:pPr>
        <w:pStyle w:val="Heading1"/>
      </w:pPr>
      <w:r>
        <w:t xml:space="preserve">3. Brief Section Map</w:t>
      </w:r>
    </w:p>
    <w:p>
      <w:pPr>
        <w:spacing w:after="160"/>
      </w:pPr>
      <w:r>
        <w:t xml:space="preserve">Each section below will become a chapter in the final brief. Status indicates whether we have the inputs needed to write it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2400"/>
        <w:gridCol w:w="1560"/>
      </w:tblGrid>
      <w:tr>
        <w:tc>
          <w:tcPr>
            <w:tcW w:type="dxa" w:w="600"/>
            <w:tcBorders>
              <w:top w:val="single" w:color="D6D2CA" w:sz="1"/>
              <w:left w:val="single" w:color="D6D2CA" w:sz="1"/>
              <w:bottom w:val="single" w:color="D6D2CA" w:sz="1"/>
              <w:right w:val="single" w:color="D6D2CA" w:sz="1"/>
            </w:tcBorders>
            <w:shd w:fill="13294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000"/>
            <w:tcBorders>
              <w:top w:val="single" w:color="D6D2CA" w:sz="1"/>
              <w:left w:val="single" w:color="D6D2CA" w:sz="1"/>
              <w:bottom w:val="single" w:color="D6D2CA" w:sz="1"/>
              <w:right w:val="single" w:color="D6D2CA" w:sz="1"/>
            </w:tcBorders>
            <w:shd w:fill="13294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Section</w:t>
            </w:r>
          </w:p>
        </w:tc>
        <w:tc>
          <w:tcPr>
            <w:tcW w:type="dxa" w:w="2800"/>
            <w:tcBorders>
              <w:top w:val="single" w:color="D6D2CA" w:sz="1"/>
              <w:left w:val="single" w:color="D6D2CA" w:sz="1"/>
              <w:bottom w:val="single" w:color="D6D2CA" w:sz="1"/>
              <w:right w:val="single" w:color="D6D2CA" w:sz="1"/>
            </w:tcBorders>
            <w:shd w:fill="13294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It Covers</w:t>
            </w:r>
          </w:p>
        </w:tc>
        <w:tc>
          <w:tcPr>
            <w:tcW w:type="dxa" w:w="2400"/>
            <w:tcBorders>
              <w:top w:val="single" w:color="D6D2CA" w:sz="1"/>
              <w:left w:val="single" w:color="D6D2CA" w:sz="1"/>
              <w:bottom w:val="single" w:color="D6D2CA" w:sz="1"/>
              <w:right w:val="single" w:color="D6D2CA" w:sz="1"/>
            </w:tcBorders>
            <w:shd w:fill="13294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Inputs</w:t>
            </w:r>
          </w:p>
        </w:tc>
        <w:tc>
          <w:tcPr>
            <w:tcW w:type="dxa" w:w="1560"/>
            <w:tcBorders>
              <w:top w:val="single" w:color="D6D2CA" w:sz="1"/>
              <w:left w:val="single" w:color="D6D2CA" w:sz="1"/>
              <w:bottom w:val="single" w:color="D6D2CA" w:sz="1"/>
              <w:right w:val="single" w:color="D6D2CA" w:sz="1"/>
            </w:tcBorders>
            <w:shd w:fill="13294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600"/>
            <w:tcBorders>
              <w:top w:val="single" w:color="D6D2CA" w:sz="1"/>
              <w:left w:val="single" w:color="D6D2CA" w:sz="1"/>
              <w:bottom w:val="single" w:color="D6D2CA" w:sz="1"/>
              <w:right w:val="single" w:color="D6D2CA"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w:t>
            </w:r>
          </w:p>
        </w:tc>
        <w:tc>
          <w:tcPr>
            <w:tcW w:type="dxa" w:w="2000"/>
            <w:tcBorders>
              <w:top w:val="single" w:color="D6D2CA" w:sz="1"/>
              <w:left w:val="single" w:color="D6D2CA" w:sz="1"/>
              <w:bottom w:val="single" w:color="D6D2CA" w:sz="1"/>
              <w:right w:val="single" w:color="D6D2CA" w:sz="1"/>
            </w:tcBorders>
            <w:tcMar>
              <w:top w:type="dxa" w:w="80"/>
              <w:left w:type="dxa" w:w="120"/>
              <w:bottom w:type="dxa" w:w="80"/>
              <w:right w:type="dxa" w:w="120"/>
            </w:tcMar>
          </w:tcPr>
          <w:p>
            <w:r>
              <w:rPr>
                <w:rFonts w:ascii="Arial" w:cs="Arial" w:eastAsia="Arial" w:hAnsi="Arial"/>
                <w:b/>
                <w:bCs/>
                <w:sz w:val="20"/>
                <w:szCs w:val="20"/>
              </w:rPr>
              <w:t xml:space="preserve">Engagement Context &amp; Mandate</w:t>
            </w:r>
          </w:p>
        </w:tc>
        <w:tc>
          <w:tcPr>
            <w:tcW w:type="dxa" w:w="28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spacing w:after="0"/>
            </w:pPr>
            <w:r>
              <w:rPr>
                <w:rFonts w:ascii="Arial" w:cs="Arial" w:eastAsia="Arial" w:hAnsi="Arial"/>
                <w:sz w:val="18"/>
                <w:szCs w:val="18"/>
              </w:rPr>
              <w:t xml:space="preserve">Business case, retainer model, 20–30% growth target, 5-year horizon, who hired us and why. Sets the accountability frame for every decision in the document.</w:t>
            </w:r>
          </w:p>
        </w:tc>
        <w:tc>
          <w:tcPr>
            <w:tcW w:type="dxa" w:w="24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spacing w:after="0"/>
            </w:pPr>
            <w:r>
              <w:rPr>
                <w:rFonts w:ascii="Arial" w:cs="Arial" w:eastAsia="Arial" w:hAnsi="Arial"/>
                <w:sz w:val="18"/>
                <w:szCs w:val="18"/>
              </w:rPr>
              <w:t xml:space="preserve">Project Instructions, CLIENT.md — fully documented</w:t>
            </w:r>
          </w:p>
        </w:tc>
        <w:tc>
          <w:tcPr>
            <w:tcW w:type="dxa" w:w="1560"/>
            <w:tcBorders>
              <w:top w:val="single" w:color="D6D2CA" w:sz="1"/>
              <w:left w:val="single" w:color="D6D2CA" w:sz="1"/>
              <w:bottom w:val="single" w:color="D6D2CA" w:sz="1"/>
              <w:right w:val="single" w:color="D6D2CA" w:sz="1"/>
            </w:tcBorders>
            <w:shd w:fill="E3F0E8" w:val="clear"/>
            <w:tcMar>
              <w:top w:type="dxa" w:w="80"/>
              <w:left w:type="dxa" w:w="120"/>
              <w:bottom w:type="dxa" w:w="80"/>
              <w:right w:type="dxa" w:w="120"/>
            </w:tcMar>
          </w:tcPr>
          <w:p>
            <w:pPr>
              <w:jc w:val="center"/>
            </w:pPr>
            <w:r>
              <w:rPr>
                <w:rFonts w:ascii="Arial" w:cs="Arial" w:eastAsia="Arial" w:hAnsi="Arial"/>
                <w:b/>
                <w:bCs/>
                <w:color w:val="3B6B4C"/>
                <w:sz w:val="18"/>
                <w:szCs w:val="18"/>
              </w:rPr>
              <w:t xml:space="preserve">Ready</w:t>
            </w:r>
          </w:p>
        </w:tc>
      </w:tr>
      <w:tr>
        <w:tc>
          <w:tcPr>
            <w:tcW w:type="dxa" w:w="600"/>
            <w:tcBorders>
              <w:top w:val="single" w:color="D6D2CA" w:sz="1"/>
              <w:left w:val="single" w:color="D6D2CA" w:sz="1"/>
              <w:bottom w:val="single" w:color="D6D2CA" w:sz="1"/>
              <w:right w:val="single" w:color="D6D2CA"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2</w:t>
            </w:r>
          </w:p>
        </w:tc>
        <w:tc>
          <w:tcPr>
            <w:tcW w:type="dxa" w:w="2000"/>
            <w:tcBorders>
              <w:top w:val="single" w:color="D6D2CA" w:sz="1"/>
              <w:left w:val="single" w:color="D6D2CA" w:sz="1"/>
              <w:bottom w:val="single" w:color="D6D2CA" w:sz="1"/>
              <w:right w:val="single" w:color="D6D2CA" w:sz="1"/>
            </w:tcBorders>
            <w:tcMar>
              <w:top w:type="dxa" w:w="80"/>
              <w:left w:type="dxa" w:w="120"/>
              <w:bottom w:type="dxa" w:w="80"/>
              <w:right w:type="dxa" w:w="120"/>
            </w:tcMar>
          </w:tcPr>
          <w:p>
            <w:r>
              <w:rPr>
                <w:rFonts w:ascii="Arial" w:cs="Arial" w:eastAsia="Arial" w:hAnsi="Arial"/>
                <w:b/>
                <w:bCs/>
                <w:sz w:val="20"/>
                <w:szCs w:val="20"/>
              </w:rPr>
              <w:t xml:space="preserve">Audience Architecture</w:t>
            </w:r>
          </w:p>
        </w:tc>
        <w:tc>
          <w:tcPr>
            <w:tcW w:type="dxa" w:w="28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spacing w:after="0"/>
            </w:pPr>
            <w:r>
              <w:rPr>
                <w:rFonts w:ascii="Arial" w:cs="Arial" w:eastAsia="Arial" w:hAnsi="Arial"/>
                <w:sz w:val="18"/>
                <w:szCs w:val="18"/>
              </w:rPr>
              <w:t xml:space="preserve">ICP definitions for commercial (procurement officer, facilities manager) and residential (urgent-leak homeowner, planned-replacement homeowner). Decision-making profiles, research behavior, trust triggers, objections, device/context.</w:t>
            </w:r>
          </w:p>
        </w:tc>
        <w:tc>
          <w:tcPr>
            <w:tcW w:type="dxa" w:w="24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spacing w:after="0"/>
            </w:pPr>
            <w:r>
              <w:rPr>
                <w:rFonts w:ascii="Arial" w:cs="Arial" w:eastAsia="Arial" w:hAnsi="Arial"/>
                <w:sz w:val="18"/>
                <w:szCs w:val="18"/>
              </w:rPr>
              <w:t xml:space="preserve">Client emails synthesized; needs stakeholder interviews for validation</w:t>
            </w:r>
          </w:p>
        </w:tc>
        <w:tc>
          <w:tcPr>
            <w:tcW w:type="dxa" w:w="1560"/>
            <w:tcBorders>
              <w:top w:val="single" w:color="D6D2CA" w:sz="1"/>
              <w:left w:val="single" w:color="D6D2CA" w:sz="1"/>
              <w:bottom w:val="single" w:color="D6D2CA" w:sz="1"/>
              <w:right w:val="single" w:color="D6D2CA" w:sz="1"/>
            </w:tcBorders>
            <w:shd w:fill="FCF4E3" w:val="clear"/>
            <w:tcMar>
              <w:top w:type="dxa" w:w="80"/>
              <w:left w:type="dxa" w:w="120"/>
              <w:bottom w:type="dxa" w:w="80"/>
              <w:right w:type="dxa" w:w="120"/>
            </w:tcMar>
          </w:tcPr>
          <w:p>
            <w:pPr>
              <w:jc w:val="center"/>
            </w:pPr>
            <w:r>
              <w:rPr>
                <w:rFonts w:ascii="Arial" w:cs="Arial" w:eastAsia="Arial" w:hAnsi="Arial"/>
                <w:b/>
                <w:bCs/>
                <w:color w:val="B67C11"/>
                <w:sz w:val="18"/>
                <w:szCs w:val="18"/>
              </w:rPr>
              <w:t xml:space="preserve">Partial</w:t>
            </w:r>
          </w:p>
        </w:tc>
      </w:tr>
      <w:tr>
        <w:tc>
          <w:tcPr>
            <w:tcW w:type="dxa" w:w="600"/>
            <w:tcBorders>
              <w:top w:val="single" w:color="D6D2CA" w:sz="1"/>
              <w:left w:val="single" w:color="D6D2CA" w:sz="1"/>
              <w:bottom w:val="single" w:color="D6D2CA" w:sz="1"/>
              <w:right w:val="single" w:color="D6D2CA"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3</w:t>
            </w:r>
          </w:p>
        </w:tc>
        <w:tc>
          <w:tcPr>
            <w:tcW w:type="dxa" w:w="2000"/>
            <w:tcBorders>
              <w:top w:val="single" w:color="D6D2CA" w:sz="1"/>
              <w:left w:val="single" w:color="D6D2CA" w:sz="1"/>
              <w:bottom w:val="single" w:color="D6D2CA" w:sz="1"/>
              <w:right w:val="single" w:color="D6D2CA" w:sz="1"/>
            </w:tcBorders>
            <w:tcMar>
              <w:top w:type="dxa" w:w="80"/>
              <w:left w:type="dxa" w:w="120"/>
              <w:bottom w:type="dxa" w:w="80"/>
              <w:right w:type="dxa" w:w="120"/>
            </w:tcMar>
          </w:tcPr>
          <w:p>
            <w:r>
              <w:rPr>
                <w:rFonts w:ascii="Arial" w:cs="Arial" w:eastAsia="Arial" w:hAnsi="Arial"/>
                <w:b/>
                <w:bCs/>
                <w:sz w:val="20"/>
                <w:szCs w:val="20"/>
              </w:rPr>
              <w:t xml:space="preserve">Competitive Positioning</w:t>
            </w:r>
          </w:p>
        </w:tc>
        <w:tc>
          <w:tcPr>
            <w:tcW w:type="dxa" w:w="28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spacing w:after="0"/>
            </w:pPr>
            <w:r>
              <w:rPr>
                <w:rFonts w:ascii="Arial" w:cs="Arial" w:eastAsia="Arial" w:hAnsi="Arial"/>
                <w:sz w:val="18"/>
                <w:szCs w:val="18"/>
              </w:rPr>
              <w:t xml:space="preserve">Top 10 commercial + top 10 residential competitor audit. Where the category bar sits, exploitable gaps, what it takes to own the whitespace. Structural teardowns of Supreme Roofing + Apple Roofing.</w:t>
            </w:r>
          </w:p>
        </w:tc>
        <w:tc>
          <w:tcPr>
            <w:tcW w:type="dxa" w:w="24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spacing w:after="0"/>
            </w:pPr>
            <w:r>
              <w:rPr>
                <w:rFonts w:ascii="Arial" w:cs="Arial" w:eastAsia="Arial" w:hAnsi="Arial"/>
                <w:sz w:val="18"/>
                <w:szCs w:val="18"/>
              </w:rPr>
              <w:t xml:space="preserve">Competitive Structural Analysis complete; 19 competitor CSVs staged</w:t>
            </w:r>
          </w:p>
        </w:tc>
        <w:tc>
          <w:tcPr>
            <w:tcW w:type="dxa" w:w="1560"/>
            <w:tcBorders>
              <w:top w:val="single" w:color="D6D2CA" w:sz="1"/>
              <w:left w:val="single" w:color="D6D2CA" w:sz="1"/>
              <w:bottom w:val="single" w:color="D6D2CA" w:sz="1"/>
              <w:right w:val="single" w:color="D6D2CA" w:sz="1"/>
            </w:tcBorders>
            <w:shd w:fill="E3F0E8" w:val="clear"/>
            <w:tcMar>
              <w:top w:type="dxa" w:w="80"/>
              <w:left w:type="dxa" w:w="120"/>
              <w:bottom w:type="dxa" w:w="80"/>
              <w:right w:type="dxa" w:w="120"/>
            </w:tcMar>
          </w:tcPr>
          <w:p>
            <w:pPr>
              <w:jc w:val="center"/>
            </w:pPr>
            <w:r>
              <w:rPr>
                <w:rFonts w:ascii="Arial" w:cs="Arial" w:eastAsia="Arial" w:hAnsi="Arial"/>
                <w:b/>
                <w:bCs/>
                <w:color w:val="3B6B4C"/>
                <w:sz w:val="18"/>
                <w:szCs w:val="18"/>
              </w:rPr>
              <w:t xml:space="preserve">Ready</w:t>
            </w:r>
          </w:p>
        </w:tc>
      </w:tr>
      <w:tr>
        <w:tc>
          <w:tcPr>
            <w:tcW w:type="dxa" w:w="600"/>
            <w:tcBorders>
              <w:top w:val="single" w:color="D6D2CA" w:sz="1"/>
              <w:left w:val="single" w:color="D6D2CA" w:sz="1"/>
              <w:bottom w:val="single" w:color="D6D2CA" w:sz="1"/>
              <w:right w:val="single" w:color="D6D2CA"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4</w:t>
            </w:r>
          </w:p>
        </w:tc>
        <w:tc>
          <w:tcPr>
            <w:tcW w:type="dxa" w:w="2000"/>
            <w:tcBorders>
              <w:top w:val="single" w:color="D6D2CA" w:sz="1"/>
              <w:left w:val="single" w:color="D6D2CA" w:sz="1"/>
              <w:bottom w:val="single" w:color="D6D2CA" w:sz="1"/>
              <w:right w:val="single" w:color="D6D2CA" w:sz="1"/>
            </w:tcBorders>
            <w:tcMar>
              <w:top w:type="dxa" w:w="80"/>
              <w:left w:type="dxa" w:w="120"/>
              <w:bottom w:type="dxa" w:w="80"/>
              <w:right w:type="dxa" w:w="120"/>
            </w:tcMar>
          </w:tcPr>
          <w:p>
            <w:r>
              <w:rPr>
                <w:rFonts w:ascii="Arial" w:cs="Arial" w:eastAsia="Arial" w:hAnsi="Arial"/>
                <w:b/>
                <w:bCs/>
                <w:sz w:val="20"/>
                <w:szCs w:val="20"/>
              </w:rPr>
              <w:t xml:space="preserve">Brand Expression Direction</w:t>
            </w:r>
          </w:p>
        </w:tc>
        <w:tc>
          <w:tcPr>
            <w:tcW w:type="dxa" w:w="28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spacing w:after="0"/>
            </w:pPr>
            <w:r>
              <w:rPr>
                <w:rFonts w:ascii="Arial" w:cs="Arial" w:eastAsia="Arial" w:hAnsi="Arial"/>
                <w:sz w:val="18"/>
                <w:szCs w:val="18"/>
              </w:rPr>
              <w:t xml:space="preserve">Color system (Pantone-matched, tokenized), typography philosophy, photography direction, voice/tone, motion philosophy. Strategic intent — not token values.</w:t>
            </w:r>
          </w:p>
        </w:tc>
        <w:tc>
          <w:tcPr>
            <w:tcW w:type="dxa" w:w="24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spacing w:after="0"/>
            </w:pPr>
            <w:r>
              <w:rPr>
                <w:rFonts w:ascii="Arial" w:cs="Arial" w:eastAsia="Arial" w:hAnsi="Arial"/>
                <w:sz w:val="18"/>
                <w:szCs w:val="18"/>
              </w:rPr>
              <w:t xml:space="preserve">Color system complete with tokens + vendor card; typography + photography direction still needed from client</w:t>
            </w:r>
          </w:p>
        </w:tc>
        <w:tc>
          <w:tcPr>
            <w:tcW w:type="dxa" w:w="1560"/>
            <w:tcBorders>
              <w:top w:val="single" w:color="D6D2CA" w:sz="1"/>
              <w:left w:val="single" w:color="D6D2CA" w:sz="1"/>
              <w:bottom w:val="single" w:color="D6D2CA" w:sz="1"/>
              <w:right w:val="single" w:color="D6D2CA" w:sz="1"/>
            </w:tcBorders>
            <w:shd w:fill="FCF4E3" w:val="clear"/>
            <w:tcMar>
              <w:top w:type="dxa" w:w="80"/>
              <w:left w:type="dxa" w:w="120"/>
              <w:bottom w:type="dxa" w:w="80"/>
              <w:right w:type="dxa" w:w="120"/>
            </w:tcMar>
          </w:tcPr>
          <w:p>
            <w:pPr>
              <w:jc w:val="center"/>
            </w:pPr>
            <w:r>
              <w:rPr>
                <w:rFonts w:ascii="Arial" w:cs="Arial" w:eastAsia="Arial" w:hAnsi="Arial"/>
                <w:b/>
                <w:bCs/>
                <w:color w:val="B67C11"/>
                <w:sz w:val="18"/>
                <w:szCs w:val="18"/>
              </w:rPr>
              <w:t xml:space="preserve">Partial</w:t>
            </w:r>
          </w:p>
        </w:tc>
      </w:tr>
      <w:tr>
        <w:tc>
          <w:tcPr>
            <w:tcW w:type="dxa" w:w="600"/>
            <w:tcBorders>
              <w:top w:val="single" w:color="D6D2CA" w:sz="1"/>
              <w:left w:val="single" w:color="D6D2CA" w:sz="1"/>
              <w:bottom w:val="single" w:color="D6D2CA" w:sz="1"/>
              <w:right w:val="single" w:color="D6D2CA"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5</w:t>
            </w:r>
          </w:p>
        </w:tc>
        <w:tc>
          <w:tcPr>
            <w:tcW w:type="dxa" w:w="2000"/>
            <w:tcBorders>
              <w:top w:val="single" w:color="D6D2CA" w:sz="1"/>
              <w:left w:val="single" w:color="D6D2CA" w:sz="1"/>
              <w:bottom w:val="single" w:color="D6D2CA" w:sz="1"/>
              <w:right w:val="single" w:color="D6D2CA" w:sz="1"/>
            </w:tcBorders>
            <w:tcMar>
              <w:top w:type="dxa" w:w="80"/>
              <w:left w:type="dxa" w:w="120"/>
              <w:bottom w:type="dxa" w:w="80"/>
              <w:right w:type="dxa" w:w="120"/>
            </w:tcMar>
          </w:tcPr>
          <w:p>
            <w:r>
              <w:rPr>
                <w:rFonts w:ascii="Arial" w:cs="Arial" w:eastAsia="Arial" w:hAnsi="Arial"/>
                <w:b/>
                <w:bCs/>
                <w:sz w:val="20"/>
                <w:szCs w:val="20"/>
              </w:rPr>
              <w:t xml:space="preserve">Information Architecture</w:t>
            </w:r>
          </w:p>
        </w:tc>
        <w:tc>
          <w:tcPr>
            <w:tcW w:type="dxa" w:w="28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spacing w:after="0"/>
            </w:pPr>
            <w:r>
              <w:rPr>
                <w:rFonts w:ascii="Arial" w:cs="Arial" w:eastAsia="Arial" w:hAnsi="Arial"/>
                <w:sz w:val="18"/>
                <w:szCs w:val="18"/>
              </w:rPr>
              <w:t xml:space="preserve">Full sitemap for commercial + residential paths. Client-confirmed nav + AIA4 strategic additions (blog, case studies, location pages, careers, FAQ). Page taxonomy with SEO rationale for every page.</w:t>
            </w:r>
          </w:p>
        </w:tc>
        <w:tc>
          <w:tcPr>
            <w:tcW w:type="dxa" w:w="24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spacing w:after="0"/>
            </w:pPr>
            <w:r>
              <w:rPr>
                <w:rFonts w:ascii="Arial" w:cs="Arial" w:eastAsia="Arial" w:hAnsi="Arial"/>
                <w:sz w:val="18"/>
                <w:szCs w:val="18"/>
              </w:rPr>
              <w:t xml:space="preserve">Client Request Synthesis has confirmed IA + our additions; needs final client approval on additions</w:t>
            </w:r>
          </w:p>
        </w:tc>
        <w:tc>
          <w:tcPr>
            <w:tcW w:type="dxa" w:w="1560"/>
            <w:tcBorders>
              <w:top w:val="single" w:color="D6D2CA" w:sz="1"/>
              <w:left w:val="single" w:color="D6D2CA" w:sz="1"/>
              <w:bottom w:val="single" w:color="D6D2CA" w:sz="1"/>
              <w:right w:val="single" w:color="D6D2CA" w:sz="1"/>
            </w:tcBorders>
            <w:shd w:fill="FCF4E3" w:val="clear"/>
            <w:tcMar>
              <w:top w:type="dxa" w:w="80"/>
              <w:left w:type="dxa" w:w="120"/>
              <w:bottom w:type="dxa" w:w="80"/>
              <w:right w:type="dxa" w:w="120"/>
            </w:tcMar>
          </w:tcPr>
          <w:p>
            <w:pPr>
              <w:jc w:val="center"/>
            </w:pPr>
            <w:r>
              <w:rPr>
                <w:rFonts w:ascii="Arial" w:cs="Arial" w:eastAsia="Arial" w:hAnsi="Arial"/>
                <w:b/>
                <w:bCs/>
                <w:color w:val="B67C11"/>
                <w:sz w:val="18"/>
                <w:szCs w:val="18"/>
              </w:rPr>
              <w:t xml:space="preserve">Partial</w:t>
            </w:r>
          </w:p>
        </w:tc>
      </w:tr>
      <w:tr>
        <w:tc>
          <w:tcPr>
            <w:tcW w:type="dxa" w:w="600"/>
            <w:tcBorders>
              <w:top w:val="single" w:color="D6D2CA" w:sz="1"/>
              <w:left w:val="single" w:color="D6D2CA" w:sz="1"/>
              <w:bottom w:val="single" w:color="D6D2CA" w:sz="1"/>
              <w:right w:val="single" w:color="D6D2CA"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6</w:t>
            </w:r>
          </w:p>
        </w:tc>
        <w:tc>
          <w:tcPr>
            <w:tcW w:type="dxa" w:w="2000"/>
            <w:tcBorders>
              <w:top w:val="single" w:color="D6D2CA" w:sz="1"/>
              <w:left w:val="single" w:color="D6D2CA" w:sz="1"/>
              <w:bottom w:val="single" w:color="D6D2CA" w:sz="1"/>
              <w:right w:val="single" w:color="D6D2CA" w:sz="1"/>
            </w:tcBorders>
            <w:tcMar>
              <w:top w:type="dxa" w:w="80"/>
              <w:left w:type="dxa" w:w="120"/>
              <w:bottom w:type="dxa" w:w="80"/>
              <w:right w:type="dxa" w:w="120"/>
            </w:tcMar>
          </w:tcPr>
          <w:p>
            <w:r>
              <w:rPr>
                <w:rFonts w:ascii="Arial" w:cs="Arial" w:eastAsia="Arial" w:hAnsi="Arial"/>
                <w:b/>
                <w:bCs/>
                <w:sz w:val="20"/>
                <w:szCs w:val="20"/>
              </w:rPr>
              <w:t xml:space="preserve">Conversion Path Architecture</w:t>
            </w:r>
          </w:p>
        </w:tc>
        <w:tc>
          <w:tcPr>
            <w:tcW w:type="dxa" w:w="28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spacing w:after="0"/>
            </w:pPr>
            <w:r>
              <w:rPr>
                <w:rFonts w:ascii="Arial" w:cs="Arial" w:eastAsia="Arial" w:hAnsi="Arial"/>
                <w:sz w:val="18"/>
                <w:szCs w:val="18"/>
              </w:rPr>
              <w:t xml:space="preserve">Three distinct funnels mapped end-to-end: commercial RFQ flow (multi-step, qualifying, progressive disclosure), residential urgent-leak flow (phone-first, fast), residential planned-replacement flow (estimate request, educational). Entry points, decision points, CTAs, form strategy, lead routing.</w:t>
            </w:r>
          </w:p>
        </w:tc>
        <w:tc>
          <w:tcPr>
            <w:tcW w:type="dxa" w:w="24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spacing w:after="0"/>
            </w:pPr>
            <w:r>
              <w:rPr>
                <w:rFonts w:ascii="Arial" w:cs="Arial" w:eastAsia="Arial" w:hAnsi="Arial"/>
                <w:sz w:val="18"/>
                <w:szCs w:val="18"/>
              </w:rPr>
              <w:t xml:space="preserve">Identified in Synthesis as critical gap; needs full design</w:t>
            </w:r>
          </w:p>
        </w:tc>
        <w:tc>
          <w:tcPr>
            <w:tcW w:type="dxa" w:w="1560"/>
            <w:tcBorders>
              <w:top w:val="single" w:color="D6D2CA" w:sz="1"/>
              <w:left w:val="single" w:color="D6D2CA" w:sz="1"/>
              <w:bottom w:val="single" w:color="D6D2CA" w:sz="1"/>
              <w:right w:val="single" w:color="D6D2CA" w:sz="1"/>
            </w:tcBorders>
            <w:shd w:fill="F8E3E0" w:val="clear"/>
            <w:tcMar>
              <w:top w:type="dxa" w:w="80"/>
              <w:left w:type="dxa" w:w="120"/>
              <w:bottom w:type="dxa" w:w="80"/>
              <w:right w:type="dxa" w:w="120"/>
            </w:tcMar>
          </w:tcPr>
          <w:p>
            <w:pPr>
              <w:jc w:val="center"/>
            </w:pPr>
            <w:r>
              <w:rPr>
                <w:rFonts w:ascii="Arial" w:cs="Arial" w:eastAsia="Arial" w:hAnsi="Arial"/>
                <w:b/>
                <w:bCs/>
                <w:color w:val="A33327"/>
                <w:sz w:val="18"/>
                <w:szCs w:val="18"/>
              </w:rPr>
              <w:t xml:space="preserve">Blocked</w:t>
            </w:r>
          </w:p>
        </w:tc>
      </w:tr>
      <w:tr>
        <w:tc>
          <w:tcPr>
            <w:tcW w:type="dxa" w:w="600"/>
            <w:tcBorders>
              <w:top w:val="single" w:color="D6D2CA" w:sz="1"/>
              <w:left w:val="single" w:color="D6D2CA" w:sz="1"/>
              <w:bottom w:val="single" w:color="D6D2CA" w:sz="1"/>
              <w:right w:val="single" w:color="D6D2CA"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7</w:t>
            </w:r>
          </w:p>
        </w:tc>
        <w:tc>
          <w:tcPr>
            <w:tcW w:type="dxa" w:w="2000"/>
            <w:tcBorders>
              <w:top w:val="single" w:color="D6D2CA" w:sz="1"/>
              <w:left w:val="single" w:color="D6D2CA" w:sz="1"/>
              <w:bottom w:val="single" w:color="D6D2CA" w:sz="1"/>
              <w:right w:val="single" w:color="D6D2CA" w:sz="1"/>
            </w:tcBorders>
            <w:tcMar>
              <w:top w:type="dxa" w:w="80"/>
              <w:left w:type="dxa" w:w="120"/>
              <w:bottom w:type="dxa" w:w="80"/>
              <w:right w:type="dxa" w:w="120"/>
            </w:tcMar>
          </w:tcPr>
          <w:p>
            <w:r>
              <w:rPr>
                <w:rFonts w:ascii="Arial" w:cs="Arial" w:eastAsia="Arial" w:hAnsi="Arial"/>
                <w:b/>
                <w:bCs/>
                <w:sz w:val="20"/>
                <w:szCs w:val="20"/>
              </w:rPr>
              <w:t xml:space="preserve">Content Strategy &amp; Proof Systems</w:t>
            </w:r>
          </w:p>
        </w:tc>
        <w:tc>
          <w:tcPr>
            <w:tcW w:type="dxa" w:w="28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spacing w:after="0"/>
            </w:pPr>
            <w:r>
              <w:rPr>
                <w:rFonts w:ascii="Arial" w:cs="Arial" w:eastAsia="Arial" w:hAnsi="Arial"/>
                <w:sz w:val="18"/>
                <w:szCs w:val="18"/>
              </w:rPr>
              <w:t xml:space="preserve">Content inventory (have vs. need), editorial calendar framework, pillar page strategy for top 5 commercial + top 5 residential intent clusters, case study template, gallery taxonomy. Proof systems: certifications, reviews, case studies, warranty transparency.</w:t>
            </w:r>
          </w:p>
        </w:tc>
        <w:tc>
          <w:tcPr>
            <w:tcW w:type="dxa" w:w="24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spacing w:after="0"/>
            </w:pPr>
            <w:r>
              <w:rPr>
                <w:rFonts w:ascii="Arial" w:cs="Arial" w:eastAsia="Arial" w:hAnsi="Arial"/>
                <w:sz w:val="18"/>
                <w:szCs w:val="18"/>
              </w:rPr>
              <w:t xml:space="preserve">Commercial content provided by client; residential content 100% missing; no case study content yet</w:t>
            </w:r>
          </w:p>
        </w:tc>
        <w:tc>
          <w:tcPr>
            <w:tcW w:type="dxa" w:w="1560"/>
            <w:tcBorders>
              <w:top w:val="single" w:color="D6D2CA" w:sz="1"/>
              <w:left w:val="single" w:color="D6D2CA" w:sz="1"/>
              <w:bottom w:val="single" w:color="D6D2CA" w:sz="1"/>
              <w:right w:val="single" w:color="D6D2CA" w:sz="1"/>
            </w:tcBorders>
            <w:shd w:fill="FCF4E3" w:val="clear"/>
            <w:tcMar>
              <w:top w:type="dxa" w:w="80"/>
              <w:left w:type="dxa" w:w="120"/>
              <w:bottom w:type="dxa" w:w="80"/>
              <w:right w:type="dxa" w:w="120"/>
            </w:tcMar>
          </w:tcPr>
          <w:p>
            <w:pPr>
              <w:jc w:val="center"/>
            </w:pPr>
            <w:r>
              <w:rPr>
                <w:rFonts w:ascii="Arial" w:cs="Arial" w:eastAsia="Arial" w:hAnsi="Arial"/>
                <w:b/>
                <w:bCs/>
                <w:color w:val="B67C11"/>
                <w:sz w:val="18"/>
                <w:szCs w:val="18"/>
              </w:rPr>
              <w:t xml:space="preserve">Partial</w:t>
            </w:r>
          </w:p>
        </w:tc>
      </w:tr>
      <w:tr>
        <w:tc>
          <w:tcPr>
            <w:tcW w:type="dxa" w:w="600"/>
            <w:tcBorders>
              <w:top w:val="single" w:color="D6D2CA" w:sz="1"/>
              <w:left w:val="single" w:color="D6D2CA" w:sz="1"/>
              <w:bottom w:val="single" w:color="D6D2CA" w:sz="1"/>
              <w:right w:val="single" w:color="D6D2CA"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8</w:t>
            </w:r>
          </w:p>
        </w:tc>
        <w:tc>
          <w:tcPr>
            <w:tcW w:type="dxa" w:w="2000"/>
            <w:tcBorders>
              <w:top w:val="single" w:color="D6D2CA" w:sz="1"/>
              <w:left w:val="single" w:color="D6D2CA" w:sz="1"/>
              <w:bottom w:val="single" w:color="D6D2CA" w:sz="1"/>
              <w:right w:val="single" w:color="D6D2CA" w:sz="1"/>
            </w:tcBorders>
            <w:tcMar>
              <w:top w:type="dxa" w:w="80"/>
              <w:left w:type="dxa" w:w="120"/>
              <w:bottom w:type="dxa" w:w="80"/>
              <w:right w:type="dxa" w:w="120"/>
            </w:tcMar>
          </w:tcPr>
          <w:p>
            <w:r>
              <w:rPr>
                <w:rFonts w:ascii="Arial" w:cs="Arial" w:eastAsia="Arial" w:hAnsi="Arial"/>
                <w:b/>
                <w:bCs/>
                <w:sz w:val="20"/>
                <w:szCs w:val="20"/>
              </w:rPr>
              <w:t xml:space="preserve">SEO &amp; Organic Strategy</w:t>
            </w:r>
          </w:p>
        </w:tc>
        <w:tc>
          <w:tcPr>
            <w:tcW w:type="dxa" w:w="28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spacing w:after="0"/>
            </w:pPr>
            <w:r>
              <w:rPr>
                <w:rFonts w:ascii="Arial" w:cs="Arial" w:eastAsia="Arial" w:hAnsi="Arial"/>
                <w:sz w:val="18"/>
                <w:szCs w:val="18"/>
              </w:rPr>
              <w:t xml:space="preserve">Keyword research, opportunity map, schema markup spec (LocalBusiness, FAQ, AggregateRating, Service), internal linking discipline, editorial reason-to-exist for every page.</w:t>
            </w:r>
          </w:p>
        </w:tc>
        <w:tc>
          <w:tcPr>
            <w:tcW w:type="dxa" w:w="24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spacing w:after="0"/>
            </w:pPr>
            <w:r>
              <w:rPr>
                <w:rFonts w:ascii="Arial" w:cs="Arial" w:eastAsia="Arial" w:hAnsi="Arial"/>
                <w:sz w:val="18"/>
                <w:szCs w:val="18"/>
              </w:rPr>
              <w:t xml:space="preserve">Competitor keyword CSVs staged; Pro Exteriors baseline crawled; full keyword research still needed</w:t>
            </w:r>
          </w:p>
        </w:tc>
        <w:tc>
          <w:tcPr>
            <w:tcW w:type="dxa" w:w="1560"/>
            <w:tcBorders>
              <w:top w:val="single" w:color="D6D2CA" w:sz="1"/>
              <w:left w:val="single" w:color="D6D2CA" w:sz="1"/>
              <w:bottom w:val="single" w:color="D6D2CA" w:sz="1"/>
              <w:right w:val="single" w:color="D6D2CA" w:sz="1"/>
            </w:tcBorders>
            <w:shd w:fill="FCF4E3" w:val="clear"/>
            <w:tcMar>
              <w:top w:type="dxa" w:w="80"/>
              <w:left w:type="dxa" w:w="120"/>
              <w:bottom w:type="dxa" w:w="80"/>
              <w:right w:type="dxa" w:w="120"/>
            </w:tcMar>
          </w:tcPr>
          <w:p>
            <w:pPr>
              <w:jc w:val="center"/>
            </w:pPr>
            <w:r>
              <w:rPr>
                <w:rFonts w:ascii="Arial" w:cs="Arial" w:eastAsia="Arial" w:hAnsi="Arial"/>
                <w:b/>
                <w:bCs/>
                <w:color w:val="B67C11"/>
                <w:sz w:val="18"/>
                <w:szCs w:val="18"/>
              </w:rPr>
              <w:t xml:space="preserve">Partial</w:t>
            </w:r>
          </w:p>
        </w:tc>
      </w:tr>
      <w:tr>
        <w:tc>
          <w:tcPr>
            <w:tcW w:type="dxa" w:w="600"/>
            <w:tcBorders>
              <w:top w:val="single" w:color="D6D2CA" w:sz="1"/>
              <w:left w:val="single" w:color="D6D2CA" w:sz="1"/>
              <w:bottom w:val="single" w:color="D6D2CA" w:sz="1"/>
              <w:right w:val="single" w:color="D6D2CA"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9</w:t>
            </w:r>
          </w:p>
        </w:tc>
        <w:tc>
          <w:tcPr>
            <w:tcW w:type="dxa" w:w="2000"/>
            <w:tcBorders>
              <w:top w:val="single" w:color="D6D2CA" w:sz="1"/>
              <w:left w:val="single" w:color="D6D2CA" w:sz="1"/>
              <w:bottom w:val="single" w:color="D6D2CA" w:sz="1"/>
              <w:right w:val="single" w:color="D6D2CA" w:sz="1"/>
            </w:tcBorders>
            <w:tcMar>
              <w:top w:type="dxa" w:w="80"/>
              <w:left w:type="dxa" w:w="120"/>
              <w:bottom w:type="dxa" w:w="80"/>
              <w:right w:type="dxa" w:w="120"/>
            </w:tcMar>
          </w:tcPr>
          <w:p>
            <w:r>
              <w:rPr>
                <w:rFonts w:ascii="Arial" w:cs="Arial" w:eastAsia="Arial" w:hAnsi="Arial"/>
                <w:b/>
                <w:bCs/>
                <w:sz w:val="20"/>
                <w:szCs w:val="20"/>
              </w:rPr>
              <w:t xml:space="preserve">Technical Requirements &amp; Performance</w:t>
            </w:r>
          </w:p>
        </w:tc>
        <w:tc>
          <w:tcPr>
            <w:tcW w:type="dxa" w:w="28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spacing w:after="0"/>
            </w:pPr>
            <w:r>
              <w:rPr>
                <w:rFonts w:ascii="Arial" w:cs="Arial" w:eastAsia="Arial" w:hAnsi="Arial"/>
                <w:sz w:val="18"/>
                <w:szCs w:val="18"/>
              </w:rPr>
              <w:t xml:space="preserve">Framework, CMS, hosting, edge strategy, analytics, A/B testing, schema, image pipeline, forms, CRM integration, Centerpoint portal. Core Web Vitals targets (LCP &lt; 2.5s, CLS &lt; 0.1, INP &lt; 200ms). Device/connectivity constraints.</w:t>
            </w:r>
          </w:p>
        </w:tc>
        <w:tc>
          <w:tcPr>
            <w:tcW w:type="dxa" w:w="24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spacing w:after="0"/>
            </w:pPr>
            <w:r>
              <w:rPr>
                <w:rFonts w:ascii="Arial" w:cs="Arial" w:eastAsia="Arial" w:hAnsi="Arial"/>
                <w:sz w:val="18"/>
                <w:szCs w:val="18"/>
              </w:rPr>
              <w:t xml:space="preserve">Video hero performance strategy defined; Centerpoint details still needed from client</w:t>
            </w:r>
          </w:p>
        </w:tc>
        <w:tc>
          <w:tcPr>
            <w:tcW w:type="dxa" w:w="1560"/>
            <w:tcBorders>
              <w:top w:val="single" w:color="D6D2CA" w:sz="1"/>
              <w:left w:val="single" w:color="D6D2CA" w:sz="1"/>
              <w:bottom w:val="single" w:color="D6D2CA" w:sz="1"/>
              <w:right w:val="single" w:color="D6D2CA" w:sz="1"/>
            </w:tcBorders>
            <w:shd w:fill="FCF4E3" w:val="clear"/>
            <w:tcMar>
              <w:top w:type="dxa" w:w="80"/>
              <w:left w:type="dxa" w:w="120"/>
              <w:bottom w:type="dxa" w:w="80"/>
              <w:right w:type="dxa" w:w="120"/>
            </w:tcMar>
          </w:tcPr>
          <w:p>
            <w:pPr>
              <w:jc w:val="center"/>
            </w:pPr>
            <w:r>
              <w:rPr>
                <w:rFonts w:ascii="Arial" w:cs="Arial" w:eastAsia="Arial" w:hAnsi="Arial"/>
                <w:b/>
                <w:bCs/>
                <w:color w:val="B67C11"/>
                <w:sz w:val="18"/>
                <w:szCs w:val="18"/>
              </w:rPr>
              <w:t xml:space="preserve">Partial</w:t>
            </w:r>
          </w:p>
        </w:tc>
      </w:tr>
      <w:tr>
        <w:tc>
          <w:tcPr>
            <w:tcW w:type="dxa" w:w="600"/>
            <w:tcBorders>
              <w:top w:val="single" w:color="D6D2CA" w:sz="1"/>
              <w:left w:val="single" w:color="D6D2CA" w:sz="1"/>
              <w:bottom w:val="single" w:color="D6D2CA" w:sz="1"/>
              <w:right w:val="single" w:color="D6D2CA"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10</w:t>
            </w:r>
          </w:p>
        </w:tc>
        <w:tc>
          <w:tcPr>
            <w:tcW w:type="dxa" w:w="2000"/>
            <w:tcBorders>
              <w:top w:val="single" w:color="D6D2CA" w:sz="1"/>
              <w:left w:val="single" w:color="D6D2CA" w:sz="1"/>
              <w:bottom w:val="single" w:color="D6D2CA" w:sz="1"/>
              <w:right w:val="single" w:color="D6D2CA" w:sz="1"/>
            </w:tcBorders>
            <w:tcMar>
              <w:top w:type="dxa" w:w="80"/>
              <w:left w:type="dxa" w:w="120"/>
              <w:bottom w:type="dxa" w:w="80"/>
              <w:right w:type="dxa" w:w="120"/>
            </w:tcMar>
          </w:tcPr>
          <w:p>
            <w:r>
              <w:rPr>
                <w:rFonts w:ascii="Arial" w:cs="Arial" w:eastAsia="Arial" w:hAnsi="Arial"/>
                <w:b/>
                <w:bCs/>
                <w:sz w:val="20"/>
                <w:szCs w:val="20"/>
              </w:rPr>
              <w:t xml:space="preserve">Accessibility Requirements</w:t>
            </w:r>
          </w:p>
        </w:tc>
        <w:tc>
          <w:tcPr>
            <w:tcW w:type="dxa" w:w="28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spacing w:after="0"/>
            </w:pPr>
            <w:r>
              <w:rPr>
                <w:rFonts w:ascii="Arial" w:cs="Arial" w:eastAsia="Arial" w:hAnsi="Arial"/>
                <w:sz w:val="18"/>
                <w:szCs w:val="18"/>
              </w:rPr>
              <w:t xml:space="preserve">WCAG 2.2 AA floor. Audience-specific considerations (older residential users, outdoor/mobile commercial users). Contrast ratios, type sizes, touch targets, keyboard nav, screen reader behavior, focus management.</w:t>
            </w:r>
          </w:p>
        </w:tc>
        <w:tc>
          <w:tcPr>
            <w:tcW w:type="dxa" w:w="24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spacing w:after="0"/>
            </w:pPr>
            <w:r>
              <w:rPr>
                <w:rFonts w:ascii="Arial" w:cs="Arial" w:eastAsia="Arial" w:hAnsi="Arial"/>
                <w:sz w:val="18"/>
                <w:szCs w:val="18"/>
              </w:rPr>
              <w:t xml:space="preserve">Strategic mandate established; needs page-level annotation during design</w:t>
            </w:r>
          </w:p>
        </w:tc>
        <w:tc>
          <w:tcPr>
            <w:tcW w:type="dxa" w:w="1560"/>
            <w:tcBorders>
              <w:top w:val="single" w:color="D6D2CA" w:sz="1"/>
              <w:left w:val="single" w:color="D6D2CA" w:sz="1"/>
              <w:bottom w:val="single" w:color="D6D2CA" w:sz="1"/>
              <w:right w:val="single" w:color="D6D2CA" w:sz="1"/>
            </w:tcBorders>
            <w:shd w:fill="FCF4E3" w:val="clear"/>
            <w:tcMar>
              <w:top w:type="dxa" w:w="80"/>
              <w:left w:type="dxa" w:w="120"/>
              <w:bottom w:type="dxa" w:w="80"/>
              <w:right w:type="dxa" w:w="120"/>
            </w:tcMar>
          </w:tcPr>
          <w:p>
            <w:pPr>
              <w:jc w:val="center"/>
            </w:pPr>
            <w:r>
              <w:rPr>
                <w:rFonts w:ascii="Arial" w:cs="Arial" w:eastAsia="Arial" w:hAnsi="Arial"/>
                <w:b/>
                <w:bCs/>
                <w:color w:val="B67C11"/>
                <w:sz w:val="18"/>
                <w:szCs w:val="18"/>
              </w:rPr>
              <w:t xml:space="preserve">Partial</w:t>
            </w:r>
          </w:p>
        </w:tc>
      </w:tr>
      <w:tr>
        <w:tc>
          <w:tcPr>
            <w:tcW w:type="dxa" w:w="600"/>
            <w:tcBorders>
              <w:top w:val="single" w:color="D6D2CA" w:sz="1"/>
              <w:left w:val="single" w:color="D6D2CA" w:sz="1"/>
              <w:bottom w:val="single" w:color="D6D2CA" w:sz="1"/>
              <w:right w:val="single" w:color="D6D2CA"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11</w:t>
            </w:r>
          </w:p>
        </w:tc>
        <w:tc>
          <w:tcPr>
            <w:tcW w:type="dxa" w:w="2000"/>
            <w:tcBorders>
              <w:top w:val="single" w:color="D6D2CA" w:sz="1"/>
              <w:left w:val="single" w:color="D6D2CA" w:sz="1"/>
              <w:bottom w:val="single" w:color="D6D2CA" w:sz="1"/>
              <w:right w:val="single" w:color="D6D2CA" w:sz="1"/>
            </w:tcBorders>
            <w:tcMar>
              <w:top w:type="dxa" w:w="80"/>
              <w:left w:type="dxa" w:w="120"/>
              <w:bottom w:type="dxa" w:w="80"/>
              <w:right w:type="dxa" w:w="120"/>
            </w:tcMar>
          </w:tcPr>
          <w:p>
            <w:r>
              <w:rPr>
                <w:rFonts w:ascii="Arial" w:cs="Arial" w:eastAsia="Arial" w:hAnsi="Arial"/>
                <w:b/>
                <w:bCs/>
                <w:sz w:val="20"/>
                <w:szCs w:val="20"/>
              </w:rPr>
              <w:t xml:space="preserve">Measurement Framework</w:t>
            </w:r>
          </w:p>
        </w:tc>
        <w:tc>
          <w:tcPr>
            <w:tcW w:type="dxa" w:w="28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spacing w:after="0"/>
            </w:pPr>
            <w:r>
              <w:rPr>
                <w:rFonts w:ascii="Arial" w:cs="Arial" w:eastAsia="Arial" w:hAnsi="Arial"/>
                <w:sz w:val="18"/>
                <w:szCs w:val="18"/>
              </w:rPr>
              <w:t xml:space="preserve">KPI tree tied to retainer, event taxonomy, goal definitions, hypothesis format, A/B testing roadmap for first 90 days, monthly reporting template, Year-1 growth model.</w:t>
            </w:r>
          </w:p>
        </w:tc>
        <w:tc>
          <w:tcPr>
            <w:tcW w:type="dxa" w:w="24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spacing w:after="0"/>
            </w:pPr>
            <w:r>
              <w:rPr>
                <w:rFonts w:ascii="Arial" w:cs="Arial" w:eastAsia="Arial" w:hAnsi="Arial"/>
                <w:sz w:val="18"/>
                <w:szCs w:val="18"/>
              </w:rPr>
              <w:t xml:space="preserve">Strategic mandate established; needs full spec</w:t>
            </w:r>
          </w:p>
        </w:tc>
        <w:tc>
          <w:tcPr>
            <w:tcW w:type="dxa" w:w="1560"/>
            <w:tcBorders>
              <w:top w:val="single" w:color="D6D2CA" w:sz="1"/>
              <w:left w:val="single" w:color="D6D2CA" w:sz="1"/>
              <w:bottom w:val="single" w:color="D6D2CA" w:sz="1"/>
              <w:right w:val="single" w:color="D6D2CA" w:sz="1"/>
            </w:tcBorders>
            <w:shd w:fill="F8E3E0" w:val="clear"/>
            <w:tcMar>
              <w:top w:type="dxa" w:w="80"/>
              <w:left w:type="dxa" w:w="120"/>
              <w:bottom w:type="dxa" w:w="80"/>
              <w:right w:type="dxa" w:w="120"/>
            </w:tcMar>
          </w:tcPr>
          <w:p>
            <w:pPr>
              <w:jc w:val="center"/>
            </w:pPr>
            <w:r>
              <w:rPr>
                <w:rFonts w:ascii="Arial" w:cs="Arial" w:eastAsia="Arial" w:hAnsi="Arial"/>
                <w:b/>
                <w:bCs/>
                <w:color w:val="A33327"/>
                <w:sz w:val="18"/>
                <w:szCs w:val="18"/>
              </w:rPr>
              <w:t xml:space="preserve">Blocked</w:t>
            </w:r>
          </w:p>
        </w:tc>
      </w:tr>
      <w:tr>
        <w:tc>
          <w:tcPr>
            <w:tcW w:type="dxa" w:w="600"/>
            <w:tcBorders>
              <w:top w:val="single" w:color="D6D2CA" w:sz="1"/>
              <w:left w:val="single" w:color="D6D2CA" w:sz="1"/>
              <w:bottom w:val="single" w:color="D6D2CA" w:sz="1"/>
              <w:right w:val="single" w:color="D6D2CA"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12</w:t>
            </w:r>
          </w:p>
        </w:tc>
        <w:tc>
          <w:tcPr>
            <w:tcW w:type="dxa" w:w="2000"/>
            <w:tcBorders>
              <w:top w:val="single" w:color="D6D2CA" w:sz="1"/>
              <w:left w:val="single" w:color="D6D2CA" w:sz="1"/>
              <w:bottom w:val="single" w:color="D6D2CA" w:sz="1"/>
              <w:right w:val="single" w:color="D6D2CA" w:sz="1"/>
            </w:tcBorders>
            <w:tcMar>
              <w:top w:type="dxa" w:w="80"/>
              <w:left w:type="dxa" w:w="120"/>
              <w:bottom w:type="dxa" w:w="80"/>
              <w:right w:type="dxa" w:w="120"/>
            </w:tcMar>
          </w:tcPr>
          <w:p>
            <w:r>
              <w:rPr>
                <w:rFonts w:ascii="Arial" w:cs="Arial" w:eastAsia="Arial" w:hAnsi="Arial"/>
                <w:b/>
                <w:bCs/>
                <w:sz w:val="20"/>
                <w:szCs w:val="20"/>
              </w:rPr>
              <w:t xml:space="preserve">Design System Scope</w:t>
            </w:r>
          </w:p>
        </w:tc>
        <w:tc>
          <w:tcPr>
            <w:tcW w:type="dxa" w:w="28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spacing w:after="0"/>
            </w:pPr>
            <w:r>
              <w:rPr>
                <w:rFonts w:ascii="Arial" w:cs="Arial" w:eastAsia="Arial" w:hAnsi="Arial"/>
                <w:sz w:val="18"/>
                <w:szCs w:val="18"/>
              </w:rPr>
              <w:t xml:space="preserve">Defines what the companion design system document will contain: typography scale, spacing tokens, component library (buttons, service cards, portfolio cards, support pills, forms, mobile bottom nav), color-as-navigation system, responsive behavior, motion specs, kern/gap/margin/padding rules.</w:t>
            </w:r>
          </w:p>
        </w:tc>
        <w:tc>
          <w:tcPr>
            <w:tcW w:type="dxa" w:w="24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spacing w:after="0"/>
            </w:pPr>
            <w:r>
              <w:rPr>
                <w:rFonts w:ascii="Arial" w:cs="Arial" w:eastAsia="Arial" w:hAnsi="Arial"/>
                <w:sz w:val="18"/>
                <w:szCs w:val="18"/>
              </w:rPr>
              <w:t xml:space="preserve">Color tokens complete; component list identified; full system needs design phase</w:t>
            </w:r>
          </w:p>
        </w:tc>
        <w:tc>
          <w:tcPr>
            <w:tcW w:type="dxa" w:w="1560"/>
            <w:tcBorders>
              <w:top w:val="single" w:color="D6D2CA" w:sz="1"/>
              <w:left w:val="single" w:color="D6D2CA" w:sz="1"/>
              <w:bottom w:val="single" w:color="D6D2CA" w:sz="1"/>
              <w:right w:val="single" w:color="D6D2CA" w:sz="1"/>
            </w:tcBorders>
            <w:shd w:fill="FCF4E3" w:val="clear"/>
            <w:tcMar>
              <w:top w:type="dxa" w:w="80"/>
              <w:left w:type="dxa" w:w="120"/>
              <w:bottom w:type="dxa" w:w="80"/>
              <w:right w:type="dxa" w:w="120"/>
            </w:tcMar>
          </w:tcPr>
          <w:p>
            <w:pPr>
              <w:jc w:val="center"/>
            </w:pPr>
            <w:r>
              <w:rPr>
                <w:rFonts w:ascii="Arial" w:cs="Arial" w:eastAsia="Arial" w:hAnsi="Arial"/>
                <w:b/>
                <w:bCs/>
                <w:color w:val="B67C11"/>
                <w:sz w:val="18"/>
                <w:szCs w:val="18"/>
              </w:rPr>
              <w:t xml:space="preserve">Partial</w:t>
            </w:r>
          </w:p>
        </w:tc>
      </w:tr>
      <w:tr>
        <w:tc>
          <w:tcPr>
            <w:tcW w:type="dxa" w:w="600"/>
            <w:tcBorders>
              <w:top w:val="single" w:color="D6D2CA" w:sz="1"/>
              <w:left w:val="single" w:color="D6D2CA" w:sz="1"/>
              <w:bottom w:val="single" w:color="D6D2CA" w:sz="1"/>
              <w:right w:val="single" w:color="D6D2CA"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13</w:t>
            </w:r>
          </w:p>
        </w:tc>
        <w:tc>
          <w:tcPr>
            <w:tcW w:type="dxa" w:w="2000"/>
            <w:tcBorders>
              <w:top w:val="single" w:color="D6D2CA" w:sz="1"/>
              <w:left w:val="single" w:color="D6D2CA" w:sz="1"/>
              <w:bottom w:val="single" w:color="D6D2CA" w:sz="1"/>
              <w:right w:val="single" w:color="D6D2CA" w:sz="1"/>
            </w:tcBorders>
            <w:tcMar>
              <w:top w:type="dxa" w:w="80"/>
              <w:left w:type="dxa" w:w="120"/>
              <w:bottom w:type="dxa" w:w="80"/>
              <w:right w:type="dxa" w:w="120"/>
            </w:tcMar>
          </w:tcPr>
          <w:p>
            <w:r>
              <w:rPr>
                <w:rFonts w:ascii="Arial" w:cs="Arial" w:eastAsia="Arial" w:hAnsi="Arial"/>
                <w:b/>
                <w:bCs/>
                <w:sz w:val="20"/>
                <w:szCs w:val="20"/>
              </w:rPr>
              <w:t xml:space="preserve">Governance &amp; Approvals</w:t>
            </w:r>
          </w:p>
        </w:tc>
        <w:tc>
          <w:tcPr>
            <w:tcW w:type="dxa" w:w="28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spacing w:after="0"/>
            </w:pPr>
            <w:r>
              <w:rPr>
                <w:rFonts w:ascii="Arial" w:cs="Arial" w:eastAsia="Arial" w:hAnsi="Arial"/>
                <w:sz w:val="18"/>
                <w:szCs w:val="18"/>
              </w:rPr>
              <w:t xml:space="preserve">Who approves what, review cadence, how disagreements resolve, stakeholder RACI. Protects the brief from scope creep and last-minute CEO homepage rewrites.</w:t>
            </w:r>
          </w:p>
        </w:tc>
        <w:tc>
          <w:tcPr>
            <w:tcW w:type="dxa" w:w="24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spacing w:after="0"/>
            </w:pPr>
            <w:r>
              <w:rPr>
                <w:rFonts w:ascii="Arial" w:cs="Arial" w:eastAsia="Arial" w:hAnsi="Arial"/>
                <w:sz w:val="18"/>
                <w:szCs w:val="18"/>
              </w:rPr>
              <w:t xml:space="preserve">Operating cadence in PROJECT_INSTRUCTIONS; needs client-side RACI</w:t>
            </w:r>
          </w:p>
        </w:tc>
        <w:tc>
          <w:tcPr>
            <w:tcW w:type="dxa" w:w="1560"/>
            <w:tcBorders>
              <w:top w:val="single" w:color="D6D2CA" w:sz="1"/>
              <w:left w:val="single" w:color="D6D2CA" w:sz="1"/>
              <w:bottom w:val="single" w:color="D6D2CA" w:sz="1"/>
              <w:right w:val="single" w:color="D6D2CA" w:sz="1"/>
            </w:tcBorders>
            <w:shd w:fill="FCF4E3" w:val="clear"/>
            <w:tcMar>
              <w:top w:type="dxa" w:w="80"/>
              <w:left w:type="dxa" w:w="120"/>
              <w:bottom w:type="dxa" w:w="80"/>
              <w:right w:type="dxa" w:w="120"/>
            </w:tcMar>
          </w:tcPr>
          <w:p>
            <w:pPr>
              <w:jc w:val="center"/>
            </w:pPr>
            <w:r>
              <w:rPr>
                <w:rFonts w:ascii="Arial" w:cs="Arial" w:eastAsia="Arial" w:hAnsi="Arial"/>
                <w:b/>
                <w:bCs/>
                <w:color w:val="B67C11"/>
                <w:sz w:val="18"/>
                <w:szCs w:val="18"/>
              </w:rPr>
              <w:t xml:space="preserve">Partial</w:t>
            </w:r>
          </w:p>
        </w:tc>
      </w:tr>
    </w:tbl>
    <w:p>
      <w:pPr>
        <w:spacing w:before="200"/>
      </w:pPr>
    </w:p>
    <w:p>
      <w:pPr>
        <w:spacing w:after="160"/>
      </w:pPr>
      <w:r>
        <w:rPr>
          <w:b/>
          <w:bCs/>
        </w:rPr>
        <w:t xml:space="preserve">Legend: </w:t>
      </w:r>
      <w:r>
        <w:rPr>
          <w:b/>
          <w:bCs/>
          <w:color w:val="3B6B4C"/>
        </w:rPr>
        <w:t xml:space="preserve">Ready</w:t>
      </w:r>
      <w:r>
        <w:t xml:space="preserve"> = all inputs on hand, can write now. </w:t>
      </w:r>
      <w:r>
        <w:rPr>
          <w:b/>
          <w:bCs/>
          <w:color w:val="B67C11"/>
        </w:rPr>
        <w:t xml:space="preserve">Partial</w:t>
      </w:r>
      <w:r>
        <w:t xml:space="preserve"> = some inputs exist, gaps identified. </w:t>
      </w:r>
      <w:r>
        <w:rPr>
          <w:b/>
          <w:bCs/>
          <w:color w:val="A33327"/>
        </w:rPr>
        <w:t xml:space="preserve">Blocked</w:t>
      </w:r>
      <w:r>
        <w:t xml:space="preserve"> = cannot write until specific inputs are provided.</w:t>
      </w:r>
    </w:p>
    <w:p>
      <w:r>
        <w:br w:type="page"/>
      </w:r>
    </w:p>
    <w:p>
      <w:pPr>
        <w:pStyle w:val="Heading1"/>
      </w:pPr>
      <w:r>
        <w:t xml:space="preserve">4. Inputs Already On Hand</w:t>
      </w:r>
    </w:p>
    <w:p>
      <w:pPr>
        <w:spacing w:after="160"/>
      </w:pPr>
      <w:r>
        <w:t xml:space="preserve">These deliverables and assets are complete and ready to feed the brief:</w:t>
      </w:r>
    </w:p>
    <w:p>
      <w:pPr>
        <w:pStyle w:val="ListParagraph"/>
        <w:numPr>
          <w:ilvl w:val="0"/>
          <w:numId w:val="2"/>
        </w:numPr>
        <w:spacing w:after="80"/>
      </w:pPr>
      <w:r>
        <w:rPr>
          <w:b/>
          <w:bCs/>
        </w:rPr>
        <w:t xml:space="preserve">Client Request Synthesis (April 11, 2026)</w:t>
      </w:r>
      <w:r>
        <w:t xml:space="preserve"> — Consolidated client direction across all emails. Homepage spec with strategic annotations. Confirmed IA. Content inventory. Five strategic gap interventions. Seven prioritized next steps.</w:t>
      </w:r>
    </w:p>
    <w:p>
      <w:pPr>
        <w:pStyle w:val="ListParagraph"/>
        <w:numPr>
          <w:ilvl w:val="0"/>
          <w:numId w:val="2"/>
        </w:numPr>
        <w:spacing w:after="80"/>
      </w:pPr>
      <w:r>
        <w:rPr>
          <w:b/>
          <w:bCs/>
        </w:rPr>
        <w:t xml:space="preserve">Competitive &amp; Structural Analysis (April 12, 2026)</w:t>
      </w:r>
      <w:r>
        <w:t xml:space="preserve"> — Teardowns of both reference sites (Supreme Roofing, Apple Roofing). Pro Exteriors baseline audit. 10-competitor landscape. Exploitable gaps. Merger blueprint with revised homepage flow and recommended IA.</w:t>
      </w:r>
    </w:p>
    <w:p>
      <w:pPr>
        <w:pStyle w:val="ListParagraph"/>
        <w:numPr>
          <w:ilvl w:val="0"/>
          <w:numId w:val="2"/>
        </w:numPr>
        <w:spacing w:after="80"/>
      </w:pPr>
      <w:r>
        <w:rPr>
          <w:b/>
          <w:bCs/>
        </w:rPr>
        <w:t xml:space="preserve">Color System (April 12, 2026)</w:t>
      </w:r>
      <w:r>
        <w:t xml:space="preserve"> — Pantone-matched, CIE Delta-E validated. 5 brand colors with full tint/shade scales. CSS custom properties, SCSS variables, and Tailwind config. Semantic aliases. Vendor reference card. Accessibility-tested contrast pairs.</w:t>
      </w:r>
    </w:p>
    <w:p>
      <w:pPr>
        <w:pStyle w:val="ListParagraph"/>
        <w:numPr>
          <w:ilvl w:val="0"/>
          <w:numId w:val="2"/>
        </w:numPr>
        <w:spacing w:after="80"/>
      </w:pPr>
      <w:r>
        <w:rPr>
          <w:b/>
          <w:bCs/>
        </w:rPr>
        <w:t xml:space="preserve">Competitor Keyword Dataset</w:t>
      </w:r>
      <w:r>
        <w:t xml:space="preserve"> — 19 CSV files covering crawl data, keyword rankings, pagespeed scores, and backlink profiles for 10 competitors plus Pro Exteriors baseline.</w:t>
      </w:r>
    </w:p>
    <w:p>
      <w:pPr>
        <w:pStyle w:val="ListParagraph"/>
        <w:numPr>
          <w:ilvl w:val="0"/>
          <w:numId w:val="2"/>
        </w:numPr>
        <w:spacing w:after="80"/>
      </w:pPr>
      <w:r>
        <w:rPr>
          <w:b/>
          <w:bCs/>
        </w:rPr>
        <w:t xml:space="preserve">Client Photography &amp; Manufacturer Logos</w:t>
      </w:r>
      <w:r>
        <w:t xml:space="preserve"> — Texas Motor Speedway video, 12+ manufacturer certification logos (GAF, Atlas, CertainTeed, FiberTite, Duro-Last, etc.), at least one project photo.</w:t>
      </w:r>
    </w:p>
    <w:p>
      <w:pPr>
        <w:pStyle w:val="Heading1"/>
      </w:pPr>
      <w:r>
        <w:t xml:space="preserve">5. Open Inputs — What We Still Need</w:t>
      </w:r>
    </w:p>
    <w:p>
      <w:pPr>
        <w:spacing w:after="160"/>
      </w:pPr>
      <w:r>
        <w:t xml:space="preserve">The following gaps must be closed before the brief can be finalized. Items marked with a star are blockers — the corresponding section cannot be written without them.</w:t>
      </w:r>
    </w:p>
    <w:p>
      <w:pPr>
        <w:pStyle w:val="Heading2"/>
      </w:pPr>
      <w:r>
        <w:t xml:space="preserve">From the Client</w:t>
      </w:r>
    </w:p>
    <w:p>
      <w:pPr>
        <w:pStyle w:val="ListParagraph"/>
        <w:numPr>
          <w:ilvl w:val="0"/>
          <w:numId w:val="3"/>
        </w:numPr>
        <w:spacing w:after="100"/>
      </w:pPr>
      <w:r>
        <w:rPr>
          <w:b/>
          <w:bCs/>
        </w:rPr>
        <w:t xml:space="preserve">Reference website URLs </w:t>
      </w:r>
      <w:r>
        <w:t xml:space="preserve">— the original URLs from the client’s emails. We’ve identified the sites (Supreme Roofing, Apple Roofing) but need confirmation. Blocks: final validation of Section 3.</w:t>
      </w:r>
    </w:p>
    <w:p>
      <w:pPr>
        <w:pStyle w:val="ListParagraph"/>
        <w:numPr>
          <w:ilvl w:val="0"/>
          <w:numId w:val="3"/>
        </w:numPr>
        <w:spacing w:after="100"/>
      </w:pPr>
      <w:r>
        <w:rPr>
          <w:b/>
          <w:bCs/>
        </w:rPr>
        <w:t xml:space="preserve">Centerpoint platform details ★ </w:t>
      </w:r>
      <w:r>
        <w:t xml:space="preserve">— product name, URL, integration documentation. Blocks: Section 9 (Technical Requirements) portal integration scope.</w:t>
      </w:r>
    </w:p>
    <w:p>
      <w:pPr>
        <w:pStyle w:val="ListParagraph"/>
        <w:numPr>
          <w:ilvl w:val="0"/>
          <w:numId w:val="3"/>
        </w:numPr>
        <w:spacing w:after="100"/>
      </w:pPr>
      <w:r>
        <w:rPr>
          <w:b/>
          <w:bCs/>
        </w:rPr>
        <w:t xml:space="preserve">Residential service content ★ </w:t>
      </w:r>
      <w:r>
        <w:t xml:space="preserve">— the client provided detailed commercial content but zero residential. We need service descriptions, pricing approach, warranty details, and residential-specific proof points. Blocks: Section 7 (Content Strategy).</w:t>
      </w:r>
    </w:p>
    <w:p>
      <w:pPr>
        <w:pStyle w:val="ListParagraph"/>
        <w:numPr>
          <w:ilvl w:val="0"/>
          <w:numId w:val="3"/>
        </w:numPr>
        <w:spacing w:after="100"/>
      </w:pPr>
      <w:r>
        <w:rPr>
          <w:b/>
          <w:bCs/>
        </w:rPr>
        <w:t xml:space="preserve">Case study content and permissions </w:t>
      </w:r>
      <w:r>
        <w:t xml:space="preserve">— signed-off project details for Texas Motor Speedway, South Georgia State, Paine College, FWISD, and any other showcase projects. Blocks: portfolio/gallery section of Section 7.</w:t>
      </w:r>
    </w:p>
    <w:p>
      <w:pPr>
        <w:pStyle w:val="ListParagraph"/>
        <w:numPr>
          <w:ilvl w:val="0"/>
          <w:numId w:val="3"/>
        </w:numPr>
        <w:spacing w:after="100"/>
      </w:pPr>
      <w:r>
        <w:rPr>
          <w:b/>
          <w:bCs/>
        </w:rPr>
        <w:t xml:space="preserve">Team/leadership headshots </w:t>
      </w:r>
      <w:r>
        <w:t xml:space="preserve">— needed for the Operations &amp; Leadership page and the About section of the brief.</w:t>
      </w:r>
    </w:p>
    <w:p>
      <w:pPr>
        <w:pStyle w:val="ListParagraph"/>
        <w:numPr>
          <w:ilvl w:val="0"/>
          <w:numId w:val="3"/>
        </w:numPr>
        <w:spacing w:after="100"/>
      </w:pPr>
      <w:r>
        <w:rPr>
          <w:b/>
          <w:bCs/>
        </w:rPr>
        <w:t xml:space="preserve">Residential photography </w:t>
      </w:r>
      <w:r>
        <w:t xml:space="preserve">— zero residential project images on file. Cannot design the residential proof system without them.</w:t>
      </w:r>
    </w:p>
    <w:p>
      <w:pPr>
        <w:pStyle w:val="ListParagraph"/>
        <w:numPr>
          <w:ilvl w:val="0"/>
          <w:numId w:val="3"/>
        </w:numPr>
        <w:spacing w:after="100"/>
      </w:pPr>
      <w:r>
        <w:rPr>
          <w:b/>
          <w:bCs/>
        </w:rPr>
        <w:t xml:space="preserve">Google review access </w:t>
      </w:r>
      <w:r>
        <w:t xml:space="preserve">— Google Business Profile access or API key for live review integration. Alternatively, permission to pull review content manually.</w:t>
      </w:r>
    </w:p>
    <w:p>
      <w:pPr>
        <w:pStyle w:val="ListParagraph"/>
        <w:numPr>
          <w:ilvl w:val="0"/>
          <w:numId w:val="3"/>
        </w:numPr>
        <w:spacing w:after="100"/>
      </w:pPr>
      <w:r>
        <w:rPr>
          <w:b/>
          <w:bCs/>
        </w:rPr>
        <w:t xml:space="preserve">Typography preferences </w:t>
      </w:r>
      <w:r>
        <w:t xml:space="preserve">— does the client have existing brand fonts, or is the type system ours to define? Blocks: Section 4 (Brand Expression).</w:t>
      </w:r>
    </w:p>
    <w:p>
      <w:pPr>
        <w:pStyle w:val="ListParagraph"/>
        <w:numPr>
          <w:ilvl w:val="0"/>
          <w:numId w:val="3"/>
        </w:numPr>
        <w:spacing w:after="100"/>
      </w:pPr>
      <w:r>
        <w:rPr>
          <w:b/>
          <w:bCs/>
        </w:rPr>
        <w:t xml:space="preserve">Stakeholder RACI </w:t>
      </w:r>
      <w:r>
        <w:t xml:space="preserve">— who at Pro Exteriors approves design, content, and technical decisions? Who has veto power? Blocks: Section 13 (Governance).</w:t>
      </w:r>
    </w:p>
    <w:p>
      <w:pPr>
        <w:pStyle w:val="Heading2"/>
      </w:pPr>
      <w:r>
        <w:t xml:space="preserve">From AIA4 (Us)</w:t>
      </w:r>
    </w:p>
    <w:p>
      <w:pPr>
        <w:pStyle w:val="ListParagraph"/>
        <w:numPr>
          <w:ilvl w:val="0"/>
          <w:numId w:val="3"/>
        </w:numPr>
        <w:spacing w:after="100"/>
      </w:pPr>
      <w:r>
        <w:rPr>
          <w:b/>
          <w:bCs/>
        </w:rPr>
        <w:t xml:space="preserve">Full keyword research ★ </w:t>
      </w:r>
      <w:r>
        <w:t xml:space="preserve">— competitor data is staged but we haven’t run the full keyword research and opportunity mapping for Pro Exteriors’ service geos. Blocks: Section 8 (SEO Strategy).</w:t>
      </w:r>
    </w:p>
    <w:p>
      <w:pPr>
        <w:pStyle w:val="ListParagraph"/>
        <w:numPr>
          <w:ilvl w:val="0"/>
          <w:numId w:val="3"/>
        </w:numPr>
        <w:spacing w:after="100"/>
      </w:pPr>
      <w:r>
        <w:rPr>
          <w:b/>
          <w:bCs/>
        </w:rPr>
        <w:t xml:space="preserve">Conversion path design ★ </w:t>
      </w:r>
      <w:r>
        <w:t xml:space="preserve">— the three funnels (commercial RFQ, residential urgent, residential planned) need to be designed end-to-end. Blocks: Section 6.</w:t>
      </w:r>
    </w:p>
    <w:p>
      <w:pPr>
        <w:pStyle w:val="ListParagraph"/>
        <w:numPr>
          <w:ilvl w:val="0"/>
          <w:numId w:val="3"/>
        </w:numPr>
        <w:spacing w:after="100"/>
      </w:pPr>
      <w:r>
        <w:rPr>
          <w:b/>
          <w:bCs/>
        </w:rPr>
        <w:t xml:space="preserve">Measurement framework spec ★ </w:t>
      </w:r>
      <w:r>
        <w:t xml:space="preserve">— KPI tree, event taxonomy, hypothesis format, Year-1 growth model. Blocks: Section 11.</w:t>
      </w:r>
    </w:p>
    <w:p>
      <w:pPr>
        <w:pStyle w:val="ListParagraph"/>
        <w:numPr>
          <w:ilvl w:val="0"/>
          <w:numId w:val="3"/>
        </w:numPr>
        <w:spacing w:after="100"/>
      </w:pPr>
      <w:r>
        <w:rPr>
          <w:b/>
          <w:bCs/>
        </w:rPr>
        <w:t xml:space="preserve">Stakeholder interviews </w:t>
      </w:r>
      <w:r>
        <w:t xml:space="preserve">— CEO, sales lead, marketing lead, ops lead. Needed to validate ICP definitions in Section 2 and fill content gaps in Section 7.</w:t>
      </w:r>
    </w:p>
    <w:p>
      <w:r>
        <w:br w:type="page"/>
      </w:r>
    </w:p>
    <w:p>
      <w:pPr>
        <w:pStyle w:val="Heading1"/>
      </w:pPr>
      <w:r>
        <w:t xml:space="preserve">6. Design System Preview — What Goes in the Second Artifact</w:t>
      </w:r>
    </w:p>
    <w:p>
      <w:pPr>
        <w:spacing w:after="160"/>
      </w:pPr>
      <w:r>
        <w:t xml:space="preserve">Chris asked specifically about typography, colors, kern rules, gap rules, spacing, components, and mobile navigation. All of that lives in the design system, which is scoped as Section 12 of the brief but delivered as its own document. Here’s the full table of contents for that artifact:</w:t>
      </w:r>
    </w:p>
    <w:p>
      <w:pPr>
        <w:pStyle w:val="Heading3"/>
      </w:pPr>
      <w:r>
        <w:t xml:space="preserve">Typography System</w:t>
      </w:r>
    </w:p>
    <w:p>
      <w:pPr>
        <w:pStyle w:val="ListParagraph"/>
        <w:numPr>
          <w:ilvl w:val="0"/>
          <w:numId w:val="2"/>
        </w:numPr>
        <w:spacing w:after="60"/>
      </w:pPr>
      <w:r>
        <w:t xml:space="preserve">Type scale (modular scale ratio, minimum/maximum sizes per breakpoint)</w:t>
      </w:r>
    </w:p>
    <w:p>
      <w:pPr>
        <w:pStyle w:val="ListParagraph"/>
        <w:numPr>
          <w:ilvl w:val="0"/>
          <w:numId w:val="2"/>
        </w:numPr>
        <w:spacing w:after="60"/>
      </w:pPr>
      <w:r>
        <w:t xml:space="preserve">Font stack (primary, secondary, monospace, fallbacks)</w:t>
      </w:r>
    </w:p>
    <w:p>
      <w:pPr>
        <w:pStyle w:val="ListParagraph"/>
        <w:numPr>
          <w:ilvl w:val="0"/>
          <w:numId w:val="2"/>
        </w:numPr>
        <w:spacing w:after="60"/>
      </w:pPr>
      <w:r>
        <w:t xml:space="preserve">Optical sizing rules per weight and size bracket</w:t>
      </w:r>
    </w:p>
    <w:p>
      <w:pPr>
        <w:pStyle w:val="ListParagraph"/>
        <w:numPr>
          <w:ilvl w:val="0"/>
          <w:numId w:val="2"/>
        </w:numPr>
        <w:spacing w:after="60"/>
      </w:pPr>
      <w:r>
        <w:t xml:space="preserve">Kerning rules: tracking adjustments for display vs. body, letter-spacing tokens</w:t>
      </w:r>
    </w:p>
    <w:p>
      <w:pPr>
        <w:pStyle w:val="ListParagraph"/>
        <w:numPr>
          <w:ilvl w:val="0"/>
          <w:numId w:val="2"/>
        </w:numPr>
        <w:spacing w:after="60"/>
      </w:pPr>
      <w:r>
        <w:t xml:space="preserve">Line-height scale tied to the spacing system</w:t>
      </w:r>
    </w:p>
    <w:p>
      <w:pPr>
        <w:pStyle w:val="ListParagraph"/>
        <w:numPr>
          <w:ilvl w:val="0"/>
          <w:numId w:val="2"/>
        </w:numPr>
        <w:spacing w:after="60"/>
      </w:pPr>
      <w:r>
        <w:t xml:space="preserve">Paragraph spacing (space-before, space-after per heading level and body)</w:t>
      </w:r>
    </w:p>
    <w:p>
      <w:pPr>
        <w:pStyle w:val="Heading3"/>
      </w:pPr>
      <w:r>
        <w:t xml:space="preserve">Spacing &amp; Layout System</w:t>
      </w:r>
    </w:p>
    <w:p>
      <w:pPr>
        <w:pStyle w:val="ListParagraph"/>
        <w:numPr>
          <w:ilvl w:val="0"/>
          <w:numId w:val="2"/>
        </w:numPr>
        <w:spacing w:after="60"/>
      </w:pPr>
      <w:r>
        <w:t xml:space="preserve">Base spacing unit and scale (4px base, geometric progression)</w:t>
      </w:r>
    </w:p>
    <w:p>
      <w:pPr>
        <w:pStyle w:val="ListParagraph"/>
        <w:numPr>
          <w:ilvl w:val="0"/>
          <w:numId w:val="2"/>
        </w:numPr>
        <w:spacing w:after="60"/>
      </w:pPr>
      <w:r>
        <w:t xml:space="preserve">Gap rules: component-internal gaps, section gaps, grid gutters</w:t>
      </w:r>
    </w:p>
    <w:p>
      <w:pPr>
        <w:pStyle w:val="ListParagraph"/>
        <w:numPr>
          <w:ilvl w:val="0"/>
          <w:numId w:val="2"/>
        </w:numPr>
        <w:spacing w:after="60"/>
      </w:pPr>
      <w:r>
        <w:t xml:space="preserve">Margin rules: section margins, container margins, responsive scaling</w:t>
      </w:r>
    </w:p>
    <w:p>
      <w:pPr>
        <w:pStyle w:val="ListParagraph"/>
        <w:numPr>
          <w:ilvl w:val="0"/>
          <w:numId w:val="2"/>
        </w:numPr>
        <w:spacing w:after="60"/>
      </w:pPr>
      <w:r>
        <w:t xml:space="preserve">Padding rules: component padding by size variant (sm/md/lg), container padding</w:t>
      </w:r>
    </w:p>
    <w:p>
      <w:pPr>
        <w:pStyle w:val="ListParagraph"/>
        <w:numPr>
          <w:ilvl w:val="0"/>
          <w:numId w:val="2"/>
        </w:numPr>
        <w:spacing w:after="60"/>
      </w:pPr>
      <w:r>
        <w:t xml:space="preserve">White space philosophy: density scale from compact to spacious per section type</w:t>
      </w:r>
    </w:p>
    <w:p>
      <w:pPr>
        <w:pStyle w:val="ListParagraph"/>
        <w:numPr>
          <w:ilvl w:val="0"/>
          <w:numId w:val="2"/>
        </w:numPr>
        <w:spacing w:after="60"/>
      </w:pPr>
      <w:r>
        <w:t xml:space="preserve">Responsive breakpoints with layout shift rules</w:t>
      </w:r>
    </w:p>
    <w:p>
      <w:pPr>
        <w:pStyle w:val="Heading3"/>
      </w:pPr>
      <w:r>
        <w:t xml:space="preserve">Color System (Extends Current Tokens)</w:t>
      </w:r>
    </w:p>
    <w:p>
      <w:pPr>
        <w:pStyle w:val="ListParagraph"/>
        <w:numPr>
          <w:ilvl w:val="0"/>
          <w:numId w:val="2"/>
        </w:numPr>
        <w:spacing w:after="60"/>
      </w:pPr>
      <w:r>
        <w:t xml:space="preserve">Full tint/shade scales (already tokenized in CSS/SCSS/Tailwind)</w:t>
      </w:r>
    </w:p>
    <w:p>
      <w:pPr>
        <w:pStyle w:val="ListParagraph"/>
        <w:numPr>
          <w:ilvl w:val="0"/>
          <w:numId w:val="2"/>
        </w:numPr>
        <w:spacing w:after="60"/>
      </w:pPr>
      <w:r>
        <w:t xml:space="preserve">Semantic aliases for surfaces, borders, text, interactive states</w:t>
      </w:r>
    </w:p>
    <w:p>
      <w:pPr>
        <w:pStyle w:val="ListParagraph"/>
        <w:numPr>
          <w:ilvl w:val="0"/>
          <w:numId w:val="2"/>
        </w:numPr>
        <w:spacing w:after="60"/>
      </w:pPr>
      <w:r>
        <w:t xml:space="preserve">Color-as-navigation system: commercial color world vs. residential color world</w:t>
      </w:r>
    </w:p>
    <w:p>
      <w:pPr>
        <w:pStyle w:val="ListParagraph"/>
        <w:numPr>
          <w:ilvl w:val="0"/>
          <w:numId w:val="2"/>
        </w:numPr>
        <w:spacing w:after="60"/>
      </w:pPr>
      <w:r>
        <w:t xml:space="preserve">Dark/light surface pairings with WCAG-validated contrast ratios</w:t>
      </w:r>
    </w:p>
    <w:p>
      <w:pPr>
        <w:pStyle w:val="ListParagraph"/>
        <w:numPr>
          <w:ilvl w:val="0"/>
          <w:numId w:val="2"/>
        </w:numPr>
        <w:spacing w:after="60"/>
      </w:pPr>
      <w:r>
        <w:t xml:space="preserve">Status colors, feedback colors, overlay/scrim values</w:t>
      </w:r>
    </w:p>
    <w:p>
      <w:pPr>
        <w:pStyle w:val="Heading3"/>
      </w:pPr>
      <w:r>
        <w:t xml:space="preserve">Component Library</w:t>
      </w:r>
    </w:p>
    <w:p>
      <w:pPr>
        <w:pStyle w:val="ListParagraph"/>
        <w:numPr>
          <w:ilvl w:val="0"/>
          <w:numId w:val="2"/>
        </w:numPr>
        <w:spacing w:after="60"/>
      </w:pPr>
      <w:r>
        <w:t xml:space="preserve">Buttons: primary, secondary, ghost, destructive — all sizes, states (default, hover, active, focus, disabled), with touch-target minimums</w:t>
      </w:r>
    </w:p>
    <w:p>
      <w:pPr>
        <w:pStyle w:val="ListParagraph"/>
        <w:numPr>
          <w:ilvl w:val="0"/>
          <w:numId w:val="2"/>
        </w:numPr>
        <w:spacing w:after="60"/>
      </w:pPr>
      <w:r>
        <w:t xml:space="preserve">Service cards: commercial variant + residential variant, hover/focus behavior, responsive stacking</w:t>
      </w:r>
    </w:p>
    <w:p>
      <w:pPr>
        <w:pStyle w:val="ListParagraph"/>
        <w:numPr>
          <w:ilvl w:val="0"/>
          <w:numId w:val="2"/>
        </w:numPr>
        <w:spacing w:after="60"/>
      </w:pPr>
      <w:r>
        <w:t xml:space="preserve">Portfolio/project cards: image aspect ratio, overlay treatment, metadata display, filterable gallery integration</w:t>
      </w:r>
    </w:p>
    <w:p>
      <w:pPr>
        <w:pStyle w:val="ListParagraph"/>
        <w:numPr>
          <w:ilvl w:val="0"/>
          <w:numId w:val="2"/>
        </w:numPr>
        <w:spacing w:after="60"/>
      </w:pPr>
      <w:r>
        <w:t xml:space="preserve">Support pills: certification badges, trust indicators, tag/category labels</w:t>
      </w:r>
    </w:p>
    <w:p>
      <w:pPr>
        <w:pStyle w:val="ListParagraph"/>
        <w:numPr>
          <w:ilvl w:val="0"/>
          <w:numId w:val="2"/>
        </w:numPr>
        <w:spacing w:after="60"/>
      </w:pPr>
      <w:r>
        <w:t xml:space="preserve">Forms: input fields, select, textarea, radio, checkbox, file upload — with error states, validation, progressive disclosure patterns</w:t>
      </w:r>
    </w:p>
    <w:p>
      <w:pPr>
        <w:pStyle w:val="ListParagraph"/>
        <w:numPr>
          <w:ilvl w:val="0"/>
          <w:numId w:val="2"/>
        </w:numPr>
        <w:spacing w:after="60"/>
      </w:pPr>
      <w:r>
        <w:t xml:space="preserve">CTAs: inline CTA, section CTA, sticky CTA bar, urgency CTA (residential leak), and the persistent mobile bottom navigation bar</w:t>
      </w:r>
    </w:p>
    <w:p>
      <w:pPr>
        <w:pStyle w:val="ListParagraph"/>
        <w:numPr>
          <w:ilvl w:val="0"/>
          <w:numId w:val="2"/>
        </w:numPr>
        <w:spacing w:after="60"/>
      </w:pPr>
      <w:r>
        <w:t xml:space="preserve">Mobile bottom nav bar: replaces footer on mobile, persistent contact/CTA access, icon + label system, active state</w:t>
      </w:r>
    </w:p>
    <w:p>
      <w:pPr>
        <w:pStyle w:val="ListParagraph"/>
        <w:numPr>
          <w:ilvl w:val="0"/>
          <w:numId w:val="2"/>
        </w:numPr>
        <w:spacing w:after="60"/>
      </w:pPr>
      <w:r>
        <w:t xml:space="preserve">Testimonial cards, review cards, case study cards, team member cards</w:t>
      </w:r>
    </w:p>
    <w:p>
      <w:pPr>
        <w:pStyle w:val="ListParagraph"/>
        <w:numPr>
          <w:ilvl w:val="0"/>
          <w:numId w:val="2"/>
        </w:numPr>
        <w:spacing w:after="60"/>
      </w:pPr>
      <w:r>
        <w:t xml:space="preserve">Map components: interactive SVG US map, state pins, location cards, tooltips</w:t>
      </w:r>
    </w:p>
    <w:p>
      <w:pPr>
        <w:pStyle w:val="ListParagraph"/>
        <w:numPr>
          <w:ilvl w:val="0"/>
          <w:numId w:val="2"/>
        </w:numPr>
        <w:spacing w:after="60"/>
      </w:pPr>
      <w:r>
        <w:t xml:space="preserve">Navigation: desktop mega-nav, mobile drawer, breadcrumbs, pagination</w:t>
      </w:r>
    </w:p>
    <w:p>
      <w:pPr>
        <w:pStyle w:val="Heading3"/>
      </w:pPr>
      <w:r>
        <w:t xml:space="preserve">Interaction &amp; Motion</w:t>
      </w:r>
    </w:p>
    <w:p>
      <w:pPr>
        <w:pStyle w:val="ListParagraph"/>
        <w:numPr>
          <w:ilvl w:val="0"/>
          <w:numId w:val="2"/>
        </w:numPr>
        <w:spacing w:after="60"/>
      </w:pPr>
      <w:r>
        <w:t xml:space="preserve">Motion philosophy: surgical, purposeful, never decorative</w:t>
      </w:r>
    </w:p>
    <w:p>
      <w:pPr>
        <w:pStyle w:val="ListParagraph"/>
        <w:numPr>
          <w:ilvl w:val="0"/>
          <w:numId w:val="2"/>
        </w:numPr>
        <w:spacing w:after="60"/>
      </w:pPr>
      <w:r>
        <w:t xml:space="preserve">Easing curves and duration tokens</w:t>
      </w:r>
    </w:p>
    <w:p>
      <w:pPr>
        <w:pStyle w:val="ListParagraph"/>
        <w:numPr>
          <w:ilvl w:val="0"/>
          <w:numId w:val="2"/>
        </w:numPr>
        <w:spacing w:after="60"/>
      </w:pPr>
      <w:r>
        <w:t xml:space="preserve">Scroll-triggered entrance animations (allowed patterns only)</w:t>
      </w:r>
    </w:p>
    <w:p>
      <w:pPr>
        <w:pStyle w:val="ListParagraph"/>
        <w:numPr>
          <w:ilvl w:val="0"/>
          <w:numId w:val="2"/>
        </w:numPr>
        <w:spacing w:after="60"/>
      </w:pPr>
      <w:r>
        <w:t xml:space="preserve">Reduced-motion fallbacks</w:t>
      </w:r>
    </w:p>
    <w:p>
      <w:pPr>
        <w:pStyle w:val="ListParagraph"/>
        <w:numPr>
          <w:ilvl w:val="0"/>
          <w:numId w:val="2"/>
        </w:numPr>
        <w:spacing w:after="60"/>
      </w:pPr>
      <w:r>
        <w:t xml:space="preserve">Loading states, skeleton screens, transition patterns</w:t>
      </w:r>
    </w:p>
    <w:p>
      <w:pPr>
        <w:pStyle w:val="Heading3"/>
      </w:pPr>
      <w:r>
        <w:t xml:space="preserve">Measurement Hooks</w:t>
      </w:r>
    </w:p>
    <w:p>
      <w:pPr>
        <w:pStyle w:val="ListParagraph"/>
        <w:numPr>
          <w:ilvl w:val="0"/>
          <w:numId w:val="2"/>
        </w:numPr>
        <w:spacing w:after="60"/>
      </w:pPr>
      <w:r>
        <w:t xml:space="preserve">Heat map integration points per component</w:t>
      </w:r>
    </w:p>
    <w:p>
      <w:pPr>
        <w:pStyle w:val="ListParagraph"/>
        <w:numPr>
          <w:ilvl w:val="0"/>
          <w:numId w:val="2"/>
        </w:numPr>
        <w:spacing w:after="60"/>
      </w:pPr>
      <w:r>
        <w:t xml:space="preserve">Conversion tracking events per CTA and form</w:t>
      </w:r>
    </w:p>
    <w:p>
      <w:pPr>
        <w:pStyle w:val="ListParagraph"/>
        <w:numPr>
          <w:ilvl w:val="0"/>
          <w:numId w:val="2"/>
        </w:numPr>
        <w:spacing w:after="60"/>
      </w:pPr>
      <w:r>
        <w:t xml:space="preserve">A/B testing surface areas: which components are built to swap variants</w:t>
      </w:r>
    </w:p>
    <w:p>
      <w:r>
        <w:br w:type="page"/>
      </w:r>
    </w:p>
    <w:p>
      <w:pPr>
        <w:pStyle w:val="Heading1"/>
      </w:pPr>
      <w:r>
        <w:t xml:space="preserve">7. Recommended Sequence</w:t>
      </w:r>
    </w:p>
    <w:p>
      <w:pPr>
        <w:spacing w:after="160"/>
      </w:pPr>
      <w:r>
        <w:t xml:space="preserve">I recommend we write the brief in two passes to avoid blocked sections stalling the entire document:</w:t>
      </w:r>
    </w:p>
    <w:p>
      <w:pPr>
        <w:pStyle w:val="Heading2"/>
      </w:pPr>
      <w:r>
        <w:t xml:space="preserve">Pass 1 — Write Now (Sections with Ready or Partial inputs)</w:t>
      </w:r>
    </w:p>
    <w:p>
      <w:pPr>
        <w:spacing w:after="160"/>
      </w:pPr>
      <w:r>
        <w:t xml:space="preserve">Sections 1 (Engagement Context), 3 (Competitive Positioning), 4 (Brand Expression — with placeholder for typography), 5 (Information Architecture), and 12 (Design System Scope). These can be written to final-draft quality with what we have today.</w:t>
      </w:r>
    </w:p>
    <w:p>
      <w:pPr>
        <w:pStyle w:val="Heading2"/>
      </w:pPr>
      <w:r>
        <w:t xml:space="preserve">Pass 2 — Write After Inputs Arrive</w:t>
      </w:r>
    </w:p>
    <w:p>
      <w:pPr>
        <w:spacing w:after="160"/>
      </w:pPr>
      <w:r>
        <w:t xml:space="preserve">Sections 2 (Audience Architecture — after stakeholder interviews), 6 (Conversion Paths — after funnel design), 7 (Content Strategy — after residential content + case studies), 8 (SEO Strategy — after keyword research), 9 (Technical Requirements — after Centerpoint details), 10 (Accessibility — can write standards section now, page-level annotations in design phase), 11 (Measurement Framework — after KPI tree and growth model), 13 (Governance — after client RACI).</w:t>
      </w:r>
    </w:p>
    <w:p>
      <w:pPr>
        <w:pStyle w:val="Heading2"/>
      </w:pPr>
      <w:r>
        <w:t xml:space="preserve">Target Completion</w:t>
      </w:r>
    </w:p>
    <w:p>
      <w:pPr>
        <w:spacing w:after="160"/>
      </w:pPr>
      <w:r>
        <w:rPr>
          <w:b/>
          <w:bCs/>
        </w:rPr>
        <w:t xml:space="preserve">Pass 1: </w:t>
      </w:r>
      <w:r>
        <w:t xml:space="preserve">Can begin immediately. Estimated 3–5 working days to final draft.</w:t>
      </w:r>
    </w:p>
    <w:p>
      <w:pPr>
        <w:spacing w:after="160"/>
      </w:pPr>
      <w:r>
        <w:rPr>
          <w:b/>
          <w:bCs/>
        </w:rPr>
        <w:t xml:space="preserve">Pass 2: </w:t>
      </w:r>
      <w:r>
        <w:t xml:space="preserve">Dependent on client inputs and our internal research. Estimated 2–3 weeks after all inputs are received.</w:t>
      </w:r>
    </w:p>
    <w:p>
      <w:pPr>
        <w:spacing w:after="160"/>
      </w:pPr>
      <w:r>
        <w:rPr>
          <w:b/>
          <w:bCs/>
        </w:rPr>
        <w:t xml:space="preserve">Brief finalized: </w:t>
      </w:r>
      <w:r>
        <w:t xml:space="preserve">Target end of April 2026, contingent on client responsiveness.</w:t>
      </w:r>
    </w:p>
    <w:p>
      <w:pPr>
        <w:pStyle w:val="Heading1"/>
      </w:pPr>
      <w:r>
        <w:t xml:space="preserve">8. Decision Needed</w:t>
      </w:r>
    </w:p>
    <w:p>
      <w:pPr>
        <w:spacing w:after="160"/>
      </w:pPr>
      <w:r>
        <w:t xml:space="preserve">Chris — three questions before I start writing:</w:t>
      </w:r>
    </w:p>
    <w:p>
      <w:pPr>
        <w:pStyle w:val="ListParagraph"/>
        <w:numPr>
          <w:ilvl w:val="0"/>
          <w:numId w:val="3"/>
        </w:numPr>
        <w:spacing w:after="100"/>
      </w:pPr>
      <w:r>
        <w:rPr>
          <w:b/>
          <w:bCs/>
        </w:rPr>
        <w:t xml:space="preserve">Approve the two-pass approach? </w:t>
      </w:r>
      <w:r>
        <w:t xml:space="preserve">Or do you want to wait until all inputs are in and write the brief in one shot? The two-pass approach gets us moving faster and lets the client see progress.</w:t>
      </w:r>
    </w:p>
    <w:p>
      <w:pPr>
        <w:pStyle w:val="ListParagraph"/>
        <w:numPr>
          <w:ilvl w:val="0"/>
          <w:numId w:val="3"/>
        </w:numPr>
        <w:spacing w:after="100"/>
      </w:pPr>
      <w:r>
        <w:rPr>
          <w:b/>
          <w:bCs/>
        </w:rPr>
        <w:t xml:space="preserve">Anything missing from the 13 sections? </w:t>
      </w:r>
      <w:r>
        <w:t xml:space="preserve">If there’s a section you expected to see that isn’t here, I want to know before I start writing.</w:t>
      </w:r>
    </w:p>
    <w:p>
      <w:pPr>
        <w:pStyle w:val="ListParagraph"/>
        <w:numPr>
          <w:ilvl w:val="0"/>
          <w:numId w:val="3"/>
        </w:numPr>
        <w:spacing w:after="100"/>
      </w:pPr>
      <w:r>
        <w:rPr>
          <w:b/>
          <w:bCs/>
        </w:rPr>
        <w:t xml:space="preserve">Priority on the client input requests? </w:t>
      </w:r>
      <w:r>
        <w:t xml:space="preserve">Which of the 9 client inputs do you want to push for first? My recommendation is Centerpoint details and residential content — those are the two biggest blockers.</w:t>
      </w:r>
    </w:p>
    <w:p>
      <w:pPr>
        <w:pBdr>
          <w:top w:val="single" w:color="13294B" w:sz="4" w:space="12"/>
        </w:pBdr>
        <w:spacing w:before="600"/>
      </w:pPr>
    </w:p>
    <w:p>
      <w:pPr>
        <w:spacing w:after="160"/>
      </w:pPr>
      <w:r>
        <w:rPr>
          <w:i/>
          <w:iCs/>
          <w:color w:val="666666"/>
        </w:rPr>
        <w:t xml:space="preserve">End of scope document. </w:t>
      </w:r>
      <w:r>
        <w:rPr>
          <w:i/>
          <w:iCs/>
          <w:color w:val="666666"/>
        </w:rPr>
        <w:t xml:space="preserve">Awaiting approval to begin Pass 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2CA" w:sz="4" w:space="4"/>
      </w:pBdr>
      <w:tabs>
        <w:tab w:val="right" w:pos="9026"/>
      </w:tabs>
    </w:pPr>
    <w:r>
      <w:rPr>
        <w:rFonts w:ascii="Arial" w:cs="Arial" w:eastAsia="Arial" w:hAnsi="Arial"/>
        <w:color w:val="999999"/>
        <w:sz w:val="14"/>
        <w:szCs w:val="14"/>
      </w:rPr>
      <w:t xml:space="preserve">INTERNAL — NOT FOR CLIENT DISTRIBUTION</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3294B" w:sz="4" w:space="4"/>
      </w:pBdr>
      <w:tabs>
        <w:tab w:val="right" w:pos="9026"/>
      </w:tabs>
    </w:pPr>
    <w:r>
      <w:rPr>
        <w:rFonts w:ascii="Arial" w:cs="Arial" w:eastAsia="Arial" w:hAnsi="Arial"/>
        <w:color w:val="999999"/>
        <w:sz w:val="16"/>
        <w:szCs w:val="16"/>
      </w:rPr>
      <w:t xml:space="preserve">Pro Exteriors — Website Design Brief Scope</w:t>
    </w:r>
    <w:r>
      <w:rPr>
        <w:rFonts w:ascii="Arial" w:cs="Arial" w:eastAsia="Arial" w:hAnsi="Arial"/>
        <w:color w:val="999999"/>
        <w:sz w:val="16"/>
        <w:szCs w:val="16"/>
      </w:rPr>
      <w:t xml:space="preserve">	AIA4 Pro Exteriors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3294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3294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A333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2026-04-12T08:25:25.844Z</dcterms:created>
  <dcterms:modified xsi:type="dcterms:W3CDTF">2026-04-12T08:25:25.845Z</dcterms:modified>
</cp:coreProperties>
</file>

<file path=docProps/custom.xml><?xml version="1.0" encoding="utf-8"?>
<Properties xmlns="http://schemas.openxmlformats.org/officeDocument/2006/custom-properties" xmlns:vt="http://schemas.openxmlformats.org/officeDocument/2006/docPropsVTypes"/>
</file>