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2E75B6"/>
          <w:spacing w:val="200"/>
          <w:sz w:val="20"/>
          <w:szCs w:val="20"/>
        </w:rPr>
        <w:t xml:space="preserve">AIA4 PRO EXTERIORS</w:t>
      </w:r>
    </w:p>
    <w:p>
      <w:pPr>
        <w:spacing w:after="120"/>
        <w:jc w:val="center"/>
      </w:pPr>
      <w:r>
        <w:rPr>
          <w:rFonts w:ascii="Arial" w:cs="Arial" w:eastAsia="Arial" w:hAnsi="Arial"/>
          <w:b/>
          <w:bCs/>
          <w:color w:val="1B2A4A"/>
          <w:sz w:val="52"/>
          <w:szCs w:val="52"/>
        </w:rPr>
        <w:t xml:space="preserve">Client Request Synthesis</w:t>
      </w:r>
    </w:p>
    <w:p>
      <w:pPr>
        <w:spacing w:after="60"/>
        <w:jc w:val="center"/>
      </w:pPr>
      <w:r>
        <w:rPr>
          <w:rFonts w:ascii="Arial" w:cs="Arial" w:eastAsia="Arial" w:hAnsi="Arial"/>
          <w:color w:val="1B2A4A"/>
          <w:sz w:val="36"/>
          <w:szCs w:val="36"/>
        </w:rPr>
        <w:t xml:space="preserve">&amp; Strategic Intervention Brief</w:t>
      </w:r>
    </w:p>
    <w:p>
      <w:pPr>
        <w:pBdr>
          <w:top w:val="single" w:color="2E75B6" w:sz="2" w:space="8"/>
        </w:pBdr>
        <w:spacing w:after="120" w:before="600"/>
        <w:jc w:val="center"/>
      </w:pPr>
      <w:r>
        <w:rPr>
          <w:rFonts w:ascii="Arial" w:cs="Arial" w:eastAsia="Arial" w:hAnsi="Arial"/>
          <w:color w:val="2C3E50"/>
          <w:sz w:val="24"/>
          <w:szCs w:val="24"/>
        </w:rPr>
        <w:t xml:space="preserve">Website Rebuild — Discovery Phase</w:t>
      </w:r>
    </w:p>
    <w:p>
      <w:pPr>
        <w:spacing w:after="60"/>
        <w:jc w:val="center"/>
      </w:pPr>
      <w:r>
        <w:rPr>
          <w:rFonts w:ascii="Arial" w:cs="Arial" w:eastAsia="Arial" w:hAnsi="Arial"/>
          <w:color w:val="2C3E50"/>
          <w:sz w:val="22"/>
          <w:szCs w:val="22"/>
        </w:rPr>
        <w:t xml:space="preserve">April 11, 2026</w:t>
      </w:r>
    </w:p>
    <w:p>
      <w:pPr>
        <w:spacing w:after="60"/>
        <w:jc w:val="center"/>
      </w:pPr>
      <w:r>
        <w:rPr>
          <w:rFonts w:ascii="Arial" w:cs="Arial" w:eastAsia="Arial" w:hAnsi="Arial"/>
          <w:color w:val="2C3E50"/>
          <w:sz w:val="22"/>
          <w:szCs w:val="22"/>
        </w:rPr>
        <w:t xml:space="preserve">Prepared by: Maren Solveig Castellan-Reyes</w:t>
      </w:r>
    </w:p>
    <w:p>
      <w:pPr>
        <w:spacing w:after="60"/>
        <w:jc w:val="center"/>
      </w:pPr>
      <w:r>
        <w:rPr>
          <w:rFonts w:ascii="Arial" w:cs="Arial" w:eastAsia="Arial" w:hAnsi="Arial"/>
          <w:color w:val="2E75B6"/>
          <w:sz w:val="20"/>
          <w:szCs w:val="20"/>
        </w:rPr>
        <w:t xml:space="preserve">Senior Director, Website &amp; Application Experience</w:t>
      </w:r>
    </w:p>
    <w:p>
      <w:pPr>
        <w:spacing w:before="200"/>
        <w:jc w:val="center"/>
      </w:pPr>
      <w:r>
        <w:rPr>
          <w:rFonts w:ascii="Arial" w:cs="Arial" w:eastAsia="Arial" w:hAnsi="Arial"/>
          <w:b/>
          <w:bCs/>
          <w:color w:val="C0392B"/>
          <w:sz w:val="18"/>
          <w:szCs w:val="18"/>
        </w:rPr>
        <w:t xml:space="preserve">INTERNAL — NOT FOR CLIENT DISTRIBUTION</w:t>
      </w:r>
    </w:p>
    <w:p>
      <w:pPr>
        <w:sectPr>
          <w:pgSz w:w="12240" w:h="15840" w:orient="portrait"/>
          <w:pgMar w:top="1440" w:right="1440" w:bottom="1440" w:left="1440" w:header="708" w:footer="708" w:gutter="0"/>
          <w:pgNumType/>
          <w:docGrid w:linePitch="360"/>
        </w:sectPr>
      </w:pPr>
    </w:p>
    <w:p>
      <w:pPr>
        <w:pStyle w:val="Heading1"/>
      </w:pPr>
      <w:r>
        <w:t xml:space="preserve">1. Executive Summary</w:t>
      </w:r>
    </w:p>
    <w:p>
      <w:pPr>
        <w:spacing w:after="120"/>
      </w:pPr>
      <w:r>
        <w:rPr>
          <w:rFonts w:ascii="Arial" w:cs="Arial" w:eastAsia="Arial" w:hAnsi="Arial"/>
          <w:color w:val="2C3E50"/>
          <w:sz w:val="22"/>
          <w:szCs w:val="22"/>
        </w:rPr>
        <w:t xml:space="preserve">Pro Exteriors has provided detailed direction across multiple emails covering homepage specifications, site navigation, content for commercial/multifamily services, reference website preferences, and a customer portal integration request. This document consolidates those inputs into a single strategic analysis, flags gaps against our engagement mandate, and recommends interventions that will deliver beyond what the client specified.</w:t>
      </w:r>
    </w:p>
    <w:p>
      <w:pPr>
        <w:spacing w:after="120"/>
      </w:pPr>
      <w:r>
        <w:rPr>
          <w:rFonts w:ascii="Arial" w:cs="Arial" w:eastAsia="Arial" w:hAnsi="Arial"/>
          <w:b/>
          <w:bCs/>
          <w:color w:val="2C3E50"/>
          <w:sz w:val="22"/>
          <w:szCs w:val="22"/>
        </w:rPr>
        <w:t xml:space="preserve">Bottom line: </w:t>
      </w:r>
      <w:r>
        <w:rPr>
          <w:rFonts w:ascii="Arial" w:cs="Arial" w:eastAsia="Arial" w:hAnsi="Arial"/>
          <w:color w:val="2C3E50"/>
          <w:sz w:val="22"/>
          <w:szCs w:val="22"/>
        </w:rPr>
        <w:t xml:space="preserve">The client’s instincts are strong on structure. The information architecture is sound, the hero video is a category differentiator, and the customer portal is a smart retention play. Where we need to intervene is in </w:t>
      </w:r>
      <w:r>
        <w:rPr>
          <w:rFonts w:ascii="Arial" w:cs="Arial" w:eastAsia="Arial" w:hAnsi="Arial"/>
          <w:b/>
          <w:bCs/>
          <w:i/>
          <w:iCs/>
          <w:color w:val="2C3E50"/>
          <w:sz w:val="22"/>
          <w:szCs w:val="22"/>
        </w:rPr>
        <w:t xml:space="preserve">homepage content strategy</w:t>
      </w:r>
      <w:r>
        <w:rPr>
          <w:rFonts w:ascii="Arial" w:cs="Arial" w:eastAsia="Arial" w:hAnsi="Arial"/>
          <w:color w:val="2C3E50"/>
          <w:sz w:val="22"/>
          <w:szCs w:val="22"/>
        </w:rPr>
        <w:t xml:space="preserve"> (the client has placed a full service page on the homepage), </w:t>
      </w:r>
      <w:r>
        <w:rPr>
          <w:rFonts w:ascii="Arial" w:cs="Arial" w:eastAsia="Arial" w:hAnsi="Arial"/>
          <w:b/>
          <w:bCs/>
          <w:i/>
          <w:iCs/>
          <w:color w:val="2C3E50"/>
          <w:sz w:val="22"/>
          <w:szCs w:val="22"/>
        </w:rPr>
        <w:t xml:space="preserve">residential audience presence</w:t>
      </w:r>
      <w:r>
        <w:rPr>
          <w:rFonts w:ascii="Arial" w:cs="Arial" w:eastAsia="Arial" w:hAnsi="Arial"/>
          <w:color w:val="2C3E50"/>
          <w:sz w:val="22"/>
          <w:szCs w:val="22"/>
        </w:rPr>
        <w:t xml:space="preserve"> (entirely absent from the homepage spec), and </w:t>
      </w:r>
      <w:r>
        <w:rPr>
          <w:rFonts w:ascii="Arial" w:cs="Arial" w:eastAsia="Arial" w:hAnsi="Arial"/>
          <w:b/>
          <w:bCs/>
          <w:i/>
          <w:iCs/>
          <w:color w:val="2C3E50"/>
          <w:sz w:val="22"/>
          <w:szCs w:val="22"/>
        </w:rPr>
        <w:t xml:space="preserve">SEO infrastructure</w:t>
      </w:r>
      <w:r>
        <w:rPr>
          <w:rFonts w:ascii="Arial" w:cs="Arial" w:eastAsia="Arial" w:hAnsi="Arial"/>
          <w:color w:val="2C3E50"/>
          <w:sz w:val="22"/>
          <w:szCs w:val="22"/>
        </w:rPr>
        <w:t xml:space="preserve"> (the proposed IA is a brochure, not a compounding organic engine).</w:t>
      </w:r>
    </w:p>
    <w:p>
      <w:pPr>
        <w:pStyle w:val="Heading1"/>
      </w:pPr>
      <w:r>
        <w:t xml:space="preserve">2. Client-Confirmed Information Architecture</w:t>
      </w:r>
    </w:p>
    <w:p>
      <w:pPr>
        <w:spacing w:after="120"/>
      </w:pPr>
      <w:r>
        <w:rPr>
          <w:rFonts w:ascii="Arial" w:cs="Arial" w:eastAsia="Arial" w:hAnsi="Arial"/>
          <w:color w:val="2C3E50"/>
          <w:sz w:val="22"/>
          <w:szCs w:val="22"/>
        </w:rPr>
        <w:t xml:space="preserve">The following navigation structure has been confirmed across all three emails. Variations between emails have been reconciled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BDC3C7" w:sz="1"/>
              <w:left w:val="single" w:color="BDC3C7" w:sz="1"/>
              <w:bottom w:val="single" w:color="BDC3C7" w:sz="1"/>
              <w:right w:val="single" w:color="BDC3C7"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Top-Level Page</w:t>
            </w:r>
          </w:p>
        </w:tc>
        <w:tc>
          <w:tcPr>
            <w:tcW w:type="dxa" w:w="3480"/>
            <w:tcBorders>
              <w:top w:val="single" w:color="BDC3C7" w:sz="1"/>
              <w:left w:val="single" w:color="BDC3C7" w:sz="1"/>
              <w:bottom w:val="single" w:color="BDC3C7" w:sz="1"/>
              <w:right w:val="single" w:color="BDC3C7"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Sub-Pages</w:t>
            </w:r>
          </w:p>
        </w:tc>
        <w:tc>
          <w:tcPr>
            <w:tcW w:type="dxa" w:w="3480"/>
            <w:tcBorders>
              <w:top w:val="single" w:color="BDC3C7" w:sz="1"/>
              <w:left w:val="single" w:color="BDC3C7" w:sz="1"/>
              <w:bottom w:val="single" w:color="BDC3C7" w:sz="1"/>
              <w:right w:val="single" w:color="BDC3C7"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Status / Notes</w:t>
            </w:r>
          </w:p>
        </w:tc>
      </w:tr>
      <w:tr>
        <w:tc>
          <w:tcPr>
            <w:tcW w:type="dxa" w:w="2400"/>
            <w:tcBorders>
              <w:top w:val="single" w:color="BDC3C7" w:sz="1"/>
              <w:left w:val="single" w:color="BDC3C7" w:sz="1"/>
              <w:bottom w:val="single" w:color="BDC3C7" w:sz="1"/>
              <w:right w:val="single" w:color="BDC3C7" w:sz="1"/>
            </w:tcBorders>
            <w:shd w:fill="EDF2F7" w:val="clear"/>
            <w:tcMar>
              <w:top w:type="dxa" w:w="80"/>
              <w:left w:type="dxa" w:w="120"/>
              <w:bottom w:type="dxa" w:w="80"/>
              <w:right w:type="dxa" w:w="120"/>
            </w:tcMar>
          </w:tcPr>
          <w:p>
            <w:r>
              <w:rPr>
                <w:rFonts w:ascii="Arial" w:cs="Arial" w:eastAsia="Arial" w:hAnsi="Arial"/>
                <w:b/>
                <w:bCs/>
                <w:color w:val="2C3E50"/>
                <w:sz w:val="20"/>
                <w:szCs w:val="20"/>
              </w:rPr>
              <w:t xml:space="preserve">Home</w:t>
            </w:r>
          </w:p>
        </w:tc>
        <w:tc>
          <w:tcPr>
            <w:tcW w:type="dxa" w:w="3480"/>
            <w:tcBorders>
              <w:top w:val="single" w:color="BDC3C7" w:sz="1"/>
              <w:left w:val="single" w:color="BDC3C7" w:sz="1"/>
              <w:bottom w:val="single" w:color="BDC3C7" w:sz="1"/>
              <w:right w:val="single" w:color="BDC3C7" w:sz="1"/>
            </w:tcBorders>
            <w:shd w:fill="EDF2F7" w:val="clear"/>
            <w:tcMar>
              <w:top w:type="dxa" w:w="80"/>
              <w:left w:type="dxa" w:w="120"/>
              <w:bottom w:type="dxa" w:w="80"/>
              <w:right w:type="dxa" w:w="120"/>
            </w:tcMar>
          </w:tcPr>
          <w:p>
            <w:r>
              <w:rPr>
                <w:rFonts w:ascii="Arial" w:cs="Arial" w:eastAsia="Arial" w:hAnsi="Arial"/>
                <w:b w:val="false"/>
                <w:bCs w:val="false"/>
                <w:color w:val="2C3E50"/>
                <w:sz w:val="20"/>
                <w:szCs w:val="20"/>
              </w:rPr>
              <w:t xml:space="preserve">Via logo click (confirmed)</w:t>
            </w:r>
          </w:p>
        </w:tc>
        <w:tc>
          <w:tcPr>
            <w:tcW w:type="dxa" w:w="3480"/>
            <w:tcBorders>
              <w:top w:val="single" w:color="BDC3C7" w:sz="1"/>
              <w:left w:val="single" w:color="BDC3C7" w:sz="1"/>
              <w:bottom w:val="single" w:color="BDC3C7" w:sz="1"/>
              <w:right w:val="single" w:color="BDC3C7" w:sz="1"/>
            </w:tcBorders>
            <w:shd w:fill="EDF2F7" w:val="clear"/>
            <w:tcMar>
              <w:top w:type="dxa" w:w="80"/>
              <w:left w:type="dxa" w:w="120"/>
              <w:bottom w:type="dxa" w:w="80"/>
              <w:right w:type="dxa" w:w="120"/>
            </w:tcMar>
          </w:tcPr>
          <w:p>
            <w:r>
              <w:rPr>
                <w:rFonts w:ascii="Arial" w:cs="Arial" w:eastAsia="Arial" w:hAnsi="Arial"/>
                <w:b w:val="false"/>
                <w:bCs w:val="false"/>
                <w:color w:val="2C3E50"/>
                <w:sz w:val="20"/>
                <w:szCs w:val="20"/>
              </w:rPr>
              <w:t xml:space="preserve">Detailed homepage spec provided</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About Us</w:t>
            </w:r>
          </w:p>
        </w:tc>
        <w:tc>
          <w:tcPr>
            <w:tcW w:type="dxa" w:w="34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Mission Statement, Pro Ministries Outreach, Operations &amp; Leadership</w:t>
            </w:r>
          </w:p>
        </w:tc>
        <w:tc>
          <w:tcPr>
            <w:tcW w:type="dxa" w:w="34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Confirmed across all emails</w:t>
            </w:r>
          </w:p>
        </w:tc>
      </w:tr>
      <w:tr>
        <w:tc>
          <w:tcPr>
            <w:tcW w:type="dxa" w:w="2400"/>
            <w:tcBorders>
              <w:top w:val="single" w:color="BDC3C7" w:sz="1"/>
              <w:left w:val="single" w:color="BDC3C7" w:sz="1"/>
              <w:bottom w:val="single" w:color="BDC3C7" w:sz="1"/>
              <w:right w:val="single" w:color="BDC3C7" w:sz="1"/>
            </w:tcBorders>
            <w:shd w:fill="EDF2F7" w:val="clear"/>
            <w:tcMar>
              <w:top w:type="dxa" w:w="80"/>
              <w:left w:type="dxa" w:w="120"/>
              <w:bottom w:type="dxa" w:w="80"/>
              <w:right w:type="dxa" w:w="120"/>
            </w:tcMar>
          </w:tcPr>
          <w:p>
            <w:r>
              <w:rPr>
                <w:rFonts w:ascii="Arial" w:cs="Arial" w:eastAsia="Arial" w:hAnsi="Arial"/>
                <w:b/>
                <w:bCs/>
                <w:color w:val="2C3E50"/>
                <w:sz w:val="20"/>
                <w:szCs w:val="20"/>
              </w:rPr>
              <w:t xml:space="preserve">Services</w:t>
            </w:r>
          </w:p>
        </w:tc>
        <w:tc>
          <w:tcPr>
            <w:tcW w:type="dxa" w:w="3480"/>
            <w:tcBorders>
              <w:top w:val="single" w:color="BDC3C7" w:sz="1"/>
              <w:left w:val="single" w:color="BDC3C7" w:sz="1"/>
              <w:bottom w:val="single" w:color="BDC3C7" w:sz="1"/>
              <w:right w:val="single" w:color="BDC3C7" w:sz="1"/>
            </w:tcBorders>
            <w:shd w:fill="EDF2F7" w:val="clear"/>
            <w:tcMar>
              <w:top w:type="dxa" w:w="80"/>
              <w:left w:type="dxa" w:w="120"/>
              <w:bottom w:type="dxa" w:w="80"/>
              <w:right w:type="dxa" w:w="120"/>
            </w:tcMar>
          </w:tcPr>
          <w:p>
            <w:r>
              <w:rPr>
                <w:rFonts w:ascii="Arial" w:cs="Arial" w:eastAsia="Arial" w:hAnsi="Arial"/>
                <w:b w:val="false"/>
                <w:bCs w:val="false"/>
                <w:color w:val="2C3E50"/>
                <w:sz w:val="20"/>
                <w:szCs w:val="20"/>
              </w:rPr>
              <w:t xml:space="preserve">Residential, Multifamily &amp; Commercial, Roof Asset Management (ProPlan)</w:t>
            </w:r>
          </w:p>
        </w:tc>
        <w:tc>
          <w:tcPr>
            <w:tcW w:type="dxa" w:w="3480"/>
            <w:tcBorders>
              <w:top w:val="single" w:color="BDC3C7" w:sz="1"/>
              <w:left w:val="single" w:color="BDC3C7" w:sz="1"/>
              <w:bottom w:val="single" w:color="BDC3C7" w:sz="1"/>
              <w:right w:val="single" w:color="BDC3C7" w:sz="1"/>
            </w:tcBorders>
            <w:shd w:fill="EDF2F7" w:val="clear"/>
            <w:tcMar>
              <w:top w:type="dxa" w:w="80"/>
              <w:left w:type="dxa" w:w="120"/>
              <w:bottom w:type="dxa" w:w="80"/>
              <w:right w:type="dxa" w:w="120"/>
            </w:tcMar>
          </w:tcPr>
          <w:p>
            <w:r>
              <w:rPr>
                <w:rFonts w:ascii="Arial" w:cs="Arial" w:eastAsia="Arial" w:hAnsi="Arial"/>
                <w:b w:val="false"/>
                <w:bCs w:val="false"/>
                <w:color w:val="2C3E50"/>
                <w:sz w:val="20"/>
                <w:szCs w:val="20"/>
              </w:rPr>
              <w:t xml:space="preserve">Commercial content provided; residential TBD</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Locations We Serve</w:t>
            </w:r>
          </w:p>
        </w:tc>
        <w:tc>
          <w:tcPr>
            <w:tcW w:type="dxa" w:w="34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Interactive US map (detailed spec provided)</w:t>
            </w:r>
          </w:p>
        </w:tc>
        <w:tc>
          <w:tcPr>
            <w:tcW w:type="dxa" w:w="34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Includes FAQ in one email variant</w:t>
            </w:r>
          </w:p>
        </w:tc>
      </w:tr>
      <w:tr>
        <w:tc>
          <w:tcPr>
            <w:tcW w:type="dxa" w:w="2400"/>
            <w:tcBorders>
              <w:top w:val="single" w:color="BDC3C7" w:sz="1"/>
              <w:left w:val="single" w:color="BDC3C7" w:sz="1"/>
              <w:bottom w:val="single" w:color="BDC3C7" w:sz="1"/>
              <w:right w:val="single" w:color="BDC3C7" w:sz="1"/>
            </w:tcBorders>
            <w:shd w:fill="EDF2F7" w:val="clear"/>
            <w:tcMar>
              <w:top w:type="dxa" w:w="80"/>
              <w:left w:type="dxa" w:w="120"/>
              <w:bottom w:type="dxa" w:w="80"/>
              <w:right w:type="dxa" w:w="120"/>
            </w:tcMar>
          </w:tcPr>
          <w:p>
            <w:r>
              <w:rPr>
                <w:rFonts w:ascii="Arial" w:cs="Arial" w:eastAsia="Arial" w:hAnsi="Arial"/>
                <w:b/>
                <w:bCs/>
                <w:color w:val="2C3E50"/>
                <w:sz w:val="20"/>
                <w:szCs w:val="20"/>
              </w:rPr>
              <w:t xml:space="preserve">Customer Portal</w:t>
            </w:r>
          </w:p>
        </w:tc>
        <w:tc>
          <w:tcPr>
            <w:tcW w:type="dxa" w:w="3480"/>
            <w:tcBorders>
              <w:top w:val="single" w:color="BDC3C7" w:sz="1"/>
              <w:left w:val="single" w:color="BDC3C7" w:sz="1"/>
              <w:bottom w:val="single" w:color="BDC3C7" w:sz="1"/>
              <w:right w:val="single" w:color="BDC3C7" w:sz="1"/>
            </w:tcBorders>
            <w:shd w:fill="EDF2F7" w:val="clear"/>
            <w:tcMar>
              <w:top w:type="dxa" w:w="80"/>
              <w:left w:type="dxa" w:w="120"/>
              <w:bottom w:type="dxa" w:w="80"/>
              <w:right w:type="dxa" w:w="120"/>
            </w:tcMar>
          </w:tcPr>
          <w:p>
            <w:r>
              <w:rPr>
                <w:rFonts w:ascii="Arial" w:cs="Arial" w:eastAsia="Arial" w:hAnsi="Arial"/>
                <w:b w:val="false"/>
                <w:bCs w:val="false"/>
                <w:color w:val="2C3E50"/>
                <w:sz w:val="20"/>
                <w:szCs w:val="20"/>
              </w:rPr>
              <w:t xml:space="preserve">Centerpoint integration</w:t>
            </w:r>
          </w:p>
        </w:tc>
        <w:tc>
          <w:tcPr>
            <w:tcW w:type="dxa" w:w="3480"/>
            <w:tcBorders>
              <w:top w:val="single" w:color="BDC3C7" w:sz="1"/>
              <w:left w:val="single" w:color="BDC3C7" w:sz="1"/>
              <w:bottom w:val="single" w:color="BDC3C7" w:sz="1"/>
              <w:right w:val="single" w:color="BDC3C7" w:sz="1"/>
            </w:tcBorders>
            <w:shd w:fill="EDF2F7" w:val="clear"/>
            <w:tcMar>
              <w:top w:type="dxa" w:w="80"/>
              <w:left w:type="dxa" w:w="120"/>
              <w:bottom w:type="dxa" w:w="80"/>
              <w:right w:type="dxa" w:w="120"/>
            </w:tcMar>
          </w:tcPr>
          <w:p>
            <w:r>
              <w:rPr>
                <w:rFonts w:ascii="Arial" w:cs="Arial" w:eastAsia="Arial" w:hAnsi="Arial"/>
                <w:b w:val="false"/>
                <w:bCs w:val="false"/>
                <w:color w:val="2C3E50"/>
                <w:sz w:val="20"/>
                <w:szCs w:val="20"/>
              </w:rPr>
              <w:t xml:space="preserve">Integration scope needs definition</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20"/>
                <w:szCs w:val="20"/>
              </w:rPr>
              <w:t xml:space="preserve">Contact Us</w:t>
            </w:r>
          </w:p>
        </w:tc>
        <w:tc>
          <w:tcPr>
            <w:tcW w:type="dxa" w:w="34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Includes FAQ</w:t>
            </w:r>
          </w:p>
        </w:tc>
        <w:tc>
          <w:tcPr>
            <w:tcW w:type="dxa" w:w="34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FAQ placement varies across emails</w:t>
            </w:r>
          </w:p>
        </w:tc>
      </w:tr>
    </w:tbl>
    <w:p>
      <w:pPr>
        <w:spacing w:before="200"/>
      </w:pPr>
    </w:p>
    <w:p>
      <w:pPr>
        <w:pStyle w:val="Heading1"/>
      </w:pPr>
      <w:r>
        <w:t xml:space="preserve">3. Homepage Specification (Client-Provided)</w:t>
      </w:r>
    </w:p>
    <w:p>
      <w:pPr>
        <w:spacing w:after="120"/>
      </w:pPr>
      <w:r>
        <w:rPr>
          <w:rFonts w:ascii="Arial" w:cs="Arial" w:eastAsia="Arial" w:hAnsi="Arial"/>
          <w:color w:val="2C3E50"/>
          <w:sz w:val="22"/>
          <w:szCs w:val="22"/>
        </w:rPr>
        <w:t xml:space="preserve">The client provided a detailed, section-by-section homepage spec. Below is the consolidated flow with strategic annotations.</w:t>
      </w:r>
    </w:p>
    <w:p>
      <w:pPr>
        <w:pStyle w:val="Heading2"/>
      </w:pPr>
      <w:r>
        <w:t xml:space="preserve">3.1 Hero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DC3C7" w:sz="1"/>
              <w:left w:val="single" w:color="BDC3C7" w:sz="1"/>
              <w:bottom w:val="single" w:color="BDC3C7" w:sz="1"/>
              <w:right w:val="single" w:color="BDC3C7" w:sz="1"/>
            </w:tcBorders>
            <w:shd w:fill="EDF2F7" w:val="clear"/>
            <w:tcMar>
              <w:top w:type="dxa" w:w="80"/>
              <w:left w:type="dxa" w:w="120"/>
              <w:bottom w:type="dxa" w:w="80"/>
              <w:right w:type="dxa" w:w="120"/>
            </w:tcMar>
          </w:tcPr>
          <w:p>
            <w:r>
              <w:rPr>
                <w:rFonts w:ascii="Arial" w:cs="Arial" w:eastAsia="Arial" w:hAnsi="Arial"/>
                <w:b/>
                <w:bCs/>
                <w:color w:val="1B2A4A"/>
                <w:sz w:val="20"/>
                <w:szCs w:val="20"/>
              </w:rPr>
              <w:t xml:space="preserve">Background</w:t>
            </w:r>
          </w:p>
        </w:tc>
        <w:tc>
          <w:tcPr>
            <w:tcW w:type="dxa" w:w="6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Texas Motor Speedway video</w:t>
            </w:r>
          </w:p>
        </w:tc>
      </w:tr>
      <w:tr>
        <w:tc>
          <w:tcPr>
            <w:tcW w:type="dxa" w:w="2400"/>
            <w:tcBorders>
              <w:top w:val="single" w:color="BDC3C7" w:sz="1"/>
              <w:left w:val="single" w:color="BDC3C7" w:sz="1"/>
              <w:bottom w:val="single" w:color="BDC3C7" w:sz="1"/>
              <w:right w:val="single" w:color="BDC3C7" w:sz="1"/>
            </w:tcBorders>
            <w:shd w:fill="EDF2F7" w:val="clear"/>
            <w:tcMar>
              <w:top w:type="dxa" w:w="80"/>
              <w:left w:type="dxa" w:w="120"/>
              <w:bottom w:type="dxa" w:w="80"/>
              <w:right w:type="dxa" w:w="120"/>
            </w:tcMar>
          </w:tcPr>
          <w:p>
            <w:r>
              <w:rPr>
                <w:rFonts w:ascii="Arial" w:cs="Arial" w:eastAsia="Arial" w:hAnsi="Arial"/>
                <w:b/>
                <w:bCs/>
                <w:color w:val="1B2A4A"/>
                <w:sz w:val="20"/>
                <w:szCs w:val="20"/>
              </w:rPr>
              <w:t xml:space="preserve">Behavior</w:t>
            </w:r>
          </w:p>
        </w:tc>
        <w:tc>
          <w:tcPr>
            <w:tcW w:type="dxa" w:w="6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Autoplay, muted, looping</w:t>
            </w:r>
          </w:p>
        </w:tc>
      </w:tr>
      <w:tr>
        <w:tc>
          <w:tcPr>
            <w:tcW w:type="dxa" w:w="2400"/>
            <w:tcBorders>
              <w:top w:val="single" w:color="BDC3C7" w:sz="1"/>
              <w:left w:val="single" w:color="BDC3C7" w:sz="1"/>
              <w:bottom w:val="single" w:color="BDC3C7" w:sz="1"/>
              <w:right w:val="single" w:color="BDC3C7" w:sz="1"/>
            </w:tcBorders>
            <w:shd w:fill="EDF2F7" w:val="clear"/>
            <w:tcMar>
              <w:top w:type="dxa" w:w="80"/>
              <w:left w:type="dxa" w:w="120"/>
              <w:bottom w:type="dxa" w:w="80"/>
              <w:right w:type="dxa" w:w="120"/>
            </w:tcMar>
          </w:tcPr>
          <w:p>
            <w:r>
              <w:rPr>
                <w:rFonts w:ascii="Arial" w:cs="Arial" w:eastAsia="Arial" w:hAnsi="Arial"/>
                <w:b/>
                <w:bCs/>
                <w:color w:val="1B2A4A"/>
                <w:sz w:val="20"/>
                <w:szCs w:val="20"/>
              </w:rPr>
              <w:t xml:space="preserve">Strategic Value</w:t>
            </w:r>
          </w:p>
        </w:tc>
        <w:tc>
          <w:tcPr>
            <w:tcW w:type="dxa" w:w="6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Category differentiator — no competitor leads with a major sports venue partnership</w:t>
            </w:r>
          </w:p>
        </w:tc>
      </w:tr>
      <w:tr>
        <w:tc>
          <w:tcPr>
            <w:tcW w:type="dxa" w:w="2400"/>
            <w:tcBorders>
              <w:top w:val="single" w:color="BDC3C7" w:sz="1"/>
              <w:left w:val="single" w:color="BDC3C7" w:sz="1"/>
              <w:bottom w:val="single" w:color="BDC3C7" w:sz="1"/>
              <w:right w:val="single" w:color="BDC3C7" w:sz="1"/>
            </w:tcBorders>
            <w:shd w:fill="EDF2F7" w:val="clear"/>
            <w:tcMar>
              <w:top w:type="dxa" w:w="80"/>
              <w:left w:type="dxa" w:w="120"/>
              <w:bottom w:type="dxa" w:w="80"/>
              <w:right w:type="dxa" w:w="120"/>
            </w:tcMar>
          </w:tcPr>
          <w:p>
            <w:r>
              <w:rPr>
                <w:rFonts w:ascii="Arial" w:cs="Arial" w:eastAsia="Arial" w:hAnsi="Arial"/>
                <w:b/>
                <w:bCs/>
                <w:color w:val="1B2A4A"/>
                <w:sz w:val="20"/>
                <w:szCs w:val="20"/>
              </w:rPr>
              <w:t xml:space="preserve">Implementation Note</w:t>
            </w:r>
          </w:p>
        </w:tc>
        <w:tc>
          <w:tcPr>
            <w:tcW w:type="dxa" w:w="6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Must meet Core Web Vitals: lazy-load, compressed WebM/MP4, poster frame for LCP, &lt; 5MB target</w:t>
            </w:r>
          </w:p>
        </w:tc>
      </w:tr>
    </w:tbl>
    <w:p>
      <w:pPr>
        <w:spacing w:before="120"/>
      </w:pPr>
    </w:p>
    <w:p>
      <w:pPr>
        <w:spacing w:after="120"/>
      </w:pPr>
      <w:r>
        <w:rPr>
          <w:rFonts w:ascii="Arial" w:cs="Arial" w:eastAsia="Arial" w:hAnsi="Arial"/>
          <w:b/>
          <w:bCs/>
          <w:color w:val="2E75B6"/>
          <w:sz w:val="22"/>
          <w:szCs w:val="22"/>
        </w:rPr>
        <w:t xml:space="preserve">Maren’s take: </w:t>
      </w:r>
      <w:r>
        <w:rPr>
          <w:rFonts w:ascii="Arial" w:cs="Arial" w:eastAsia="Arial" w:hAnsi="Arial"/>
          <w:color w:val="2C3E50"/>
          <w:sz w:val="22"/>
          <w:szCs w:val="22"/>
        </w:rPr>
        <w:t xml:space="preserve">This is the right call. The Texas Motor Speedway partnership is Pro Exteriors’ single strongest brand proof point. A full-bleed video hero communicates scale, institutional credibility, and ambition in the first second. The key risk is performance — video heroes on roofing sites are usually 20MB+ uncompressed disasters that push LCP past 4 seconds. We’ll spec this as a two-layer system: a compressed poster image that loads immediately for LCP, then the video streams in progressively. Green CWV or it doesn’t ship.</w:t>
      </w:r>
    </w:p>
    <w:p>
      <w:pPr>
        <w:pStyle w:val="Heading2"/>
      </w:pPr>
      <w:r>
        <w:t xml:space="preserve">3.2 Customer Testimonials / Google Reviews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DC3C7" w:sz="1"/>
              <w:left w:val="single" w:color="BDC3C7" w:sz="1"/>
              <w:bottom w:val="single" w:color="BDC3C7" w:sz="1"/>
              <w:right w:val="single" w:color="BDC3C7" w:sz="1"/>
            </w:tcBorders>
            <w:shd w:fill="EDF2F7" w:val="clear"/>
            <w:tcMar>
              <w:top w:type="dxa" w:w="80"/>
              <w:left w:type="dxa" w:w="120"/>
              <w:bottom w:type="dxa" w:w="80"/>
              <w:right w:type="dxa" w:w="120"/>
            </w:tcMar>
          </w:tcPr>
          <w:p>
            <w:r>
              <w:rPr>
                <w:rFonts w:ascii="Arial" w:cs="Arial" w:eastAsia="Arial" w:hAnsi="Arial"/>
                <w:b/>
                <w:bCs/>
                <w:color w:val="1B2A4A"/>
                <w:sz w:val="20"/>
                <w:szCs w:val="20"/>
              </w:rPr>
              <w:t xml:space="preserve">Position</w:t>
            </w:r>
          </w:p>
        </w:tc>
        <w:tc>
          <w:tcPr>
            <w:tcW w:type="dxa" w:w="6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Directly below hero</w:t>
            </w:r>
          </w:p>
        </w:tc>
      </w:tr>
      <w:tr>
        <w:tc>
          <w:tcPr>
            <w:tcW w:type="dxa" w:w="2400"/>
            <w:tcBorders>
              <w:top w:val="single" w:color="BDC3C7" w:sz="1"/>
              <w:left w:val="single" w:color="BDC3C7" w:sz="1"/>
              <w:bottom w:val="single" w:color="BDC3C7" w:sz="1"/>
              <w:right w:val="single" w:color="BDC3C7" w:sz="1"/>
            </w:tcBorders>
            <w:shd w:fill="EDF2F7" w:val="clear"/>
            <w:tcMar>
              <w:top w:type="dxa" w:w="80"/>
              <w:left w:type="dxa" w:w="120"/>
              <w:bottom w:type="dxa" w:w="80"/>
              <w:right w:type="dxa" w:w="120"/>
            </w:tcMar>
          </w:tcPr>
          <w:p>
            <w:r>
              <w:rPr>
                <w:rFonts w:ascii="Arial" w:cs="Arial" w:eastAsia="Arial" w:hAnsi="Arial"/>
                <w:b/>
                <w:bCs/>
                <w:color w:val="1B2A4A"/>
                <w:sz w:val="20"/>
                <w:szCs w:val="20"/>
              </w:rPr>
              <w:t xml:space="preserve">Content</w:t>
            </w:r>
          </w:p>
        </w:tc>
        <w:tc>
          <w:tcPr>
            <w:tcW w:type="dxa" w:w="6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Customer testimonials / Google reviews</w:t>
            </w:r>
          </w:p>
        </w:tc>
      </w:tr>
      <w:tr>
        <w:tc>
          <w:tcPr>
            <w:tcW w:type="dxa" w:w="2400"/>
            <w:tcBorders>
              <w:top w:val="single" w:color="BDC3C7" w:sz="1"/>
              <w:left w:val="single" w:color="BDC3C7" w:sz="1"/>
              <w:bottom w:val="single" w:color="BDC3C7" w:sz="1"/>
              <w:right w:val="single" w:color="BDC3C7" w:sz="1"/>
            </w:tcBorders>
            <w:shd w:fill="EDF2F7" w:val="clear"/>
            <w:tcMar>
              <w:top w:type="dxa" w:w="80"/>
              <w:left w:type="dxa" w:w="120"/>
              <w:bottom w:type="dxa" w:w="80"/>
              <w:right w:type="dxa" w:w="120"/>
            </w:tcMar>
          </w:tcPr>
          <w:p>
            <w:r>
              <w:rPr>
                <w:rFonts w:ascii="Arial" w:cs="Arial" w:eastAsia="Arial" w:hAnsi="Arial"/>
                <w:b/>
                <w:bCs/>
                <w:color w:val="1B2A4A"/>
                <w:sz w:val="20"/>
                <w:szCs w:val="20"/>
              </w:rPr>
              <w:t xml:space="preserve">Strategic Value</w:t>
            </w:r>
          </w:p>
        </w:tc>
        <w:tc>
          <w:tcPr>
            <w:tcW w:type="dxa" w:w="6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Social proof before the visitor commits to scrolling</w:t>
            </w:r>
          </w:p>
        </w:tc>
      </w:tr>
    </w:tbl>
    <w:p>
      <w:pPr>
        <w:spacing w:before="120"/>
      </w:pPr>
    </w:p>
    <w:p>
      <w:pPr>
        <w:spacing w:after="120"/>
      </w:pPr>
      <w:r>
        <w:rPr>
          <w:rFonts w:ascii="Arial" w:cs="Arial" w:eastAsia="Arial" w:hAnsi="Arial"/>
          <w:b/>
          <w:bCs/>
          <w:color w:val="2E75B6"/>
          <w:sz w:val="22"/>
          <w:szCs w:val="22"/>
        </w:rPr>
        <w:t xml:space="preserve">Maren’s take: </w:t>
      </w:r>
      <w:r>
        <w:rPr>
          <w:rFonts w:ascii="Arial" w:cs="Arial" w:eastAsia="Arial" w:hAnsi="Arial"/>
          <w:color w:val="2C3E50"/>
          <w:sz w:val="22"/>
          <w:szCs w:val="22"/>
        </w:rPr>
        <w:t xml:space="preserve">Correct placement. Social proof immediately below the hero anchors the brand claim before the visitor has to make any decision. We should pull live Google reviews via the Places API with schema markup for aggregate rating. Static testimonials as fallback. Mix commercial and residential quotes so both audiences see themselves early.</w:t>
      </w:r>
    </w:p>
    <w:p>
      <w:pPr>
        <w:pStyle w:val="Heading2"/>
      </w:pPr>
      <w:r>
        <w:t xml:space="preserve">3.3 United States Map Section</w:t>
      </w:r>
    </w:p>
    <w:p>
      <w:pPr>
        <w:spacing w:after="120"/>
      </w:pPr>
      <w:r>
        <w:rPr>
          <w:rFonts w:ascii="Arial" w:cs="Arial" w:eastAsia="Arial" w:hAnsi="Arial"/>
          <w:color w:val="2C3E50"/>
          <w:sz w:val="22"/>
          <w:szCs w:val="22"/>
        </w:rPr>
        <w:t xml:space="preserve">The client provided a detailed map specification including state highlighting and office pin locations.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DC3C7" w:sz="1"/>
              <w:left w:val="single" w:color="BDC3C7" w:sz="1"/>
              <w:bottom w:val="single" w:color="BDC3C7" w:sz="1"/>
              <w:right w:val="single" w:color="BDC3C7" w:sz="1"/>
            </w:tcBorders>
            <w:shd w:fill="EDF2F7" w:val="clear"/>
            <w:tcMar>
              <w:top w:type="dxa" w:w="80"/>
              <w:left w:type="dxa" w:w="120"/>
              <w:bottom w:type="dxa" w:w="80"/>
              <w:right w:type="dxa" w:w="120"/>
            </w:tcMar>
          </w:tcPr>
          <w:p>
            <w:r>
              <w:rPr>
                <w:rFonts w:ascii="Arial" w:cs="Arial" w:eastAsia="Arial" w:hAnsi="Arial"/>
                <w:b/>
                <w:bCs/>
                <w:color w:val="1B2A4A"/>
                <w:sz w:val="20"/>
                <w:szCs w:val="20"/>
              </w:rPr>
              <w:t xml:space="preserve">Located States (Bold)</w:t>
            </w:r>
          </w:p>
        </w:tc>
        <w:tc>
          <w:tcPr>
            <w:tcW w:type="dxa" w:w="6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Texas, Kansas, Colorado, Georgia, North Carolina</w:t>
            </w:r>
          </w:p>
        </w:tc>
      </w:tr>
      <w:tr>
        <w:tc>
          <w:tcPr>
            <w:tcW w:type="dxa" w:w="2400"/>
            <w:tcBorders>
              <w:top w:val="single" w:color="BDC3C7" w:sz="1"/>
              <w:left w:val="single" w:color="BDC3C7" w:sz="1"/>
              <w:bottom w:val="single" w:color="BDC3C7" w:sz="1"/>
              <w:right w:val="single" w:color="BDC3C7" w:sz="1"/>
            </w:tcBorders>
            <w:shd w:fill="EDF2F7" w:val="clear"/>
            <w:tcMar>
              <w:top w:type="dxa" w:w="80"/>
              <w:left w:type="dxa" w:w="120"/>
              <w:bottom w:type="dxa" w:w="80"/>
              <w:right w:type="dxa" w:w="120"/>
            </w:tcMar>
          </w:tcPr>
          <w:p>
            <w:r>
              <w:rPr>
                <w:rFonts w:ascii="Arial" w:cs="Arial" w:eastAsia="Arial" w:hAnsi="Arial"/>
                <w:b/>
                <w:bCs/>
                <w:color w:val="1B2A4A"/>
                <w:sz w:val="20"/>
                <w:szCs w:val="20"/>
              </w:rPr>
              <w:t xml:space="preserve">Service States (Light)</w:t>
            </w:r>
          </w:p>
        </w:tc>
        <w:tc>
          <w:tcPr>
            <w:tcW w:type="dxa" w:w="6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LA, NC, SC, GA, TX, OK, KS, NE, CO, MN, MS, AL, AR, TN, KY, MO</w:t>
            </w:r>
          </w:p>
        </w:tc>
      </w:tr>
      <w:tr>
        <w:tc>
          <w:tcPr>
            <w:tcW w:type="dxa" w:w="2400"/>
            <w:tcBorders>
              <w:top w:val="single" w:color="BDC3C7" w:sz="1"/>
              <w:left w:val="single" w:color="BDC3C7" w:sz="1"/>
              <w:bottom w:val="single" w:color="BDC3C7" w:sz="1"/>
              <w:right w:val="single" w:color="BDC3C7" w:sz="1"/>
            </w:tcBorders>
            <w:shd w:fill="EDF2F7" w:val="clear"/>
            <w:tcMar>
              <w:top w:type="dxa" w:w="80"/>
              <w:left w:type="dxa" w:w="120"/>
              <w:bottom w:type="dxa" w:w="80"/>
              <w:right w:type="dxa" w:w="120"/>
            </w:tcMar>
          </w:tcPr>
          <w:p>
            <w:r>
              <w:rPr>
                <w:rFonts w:ascii="Arial" w:cs="Arial" w:eastAsia="Arial" w:hAnsi="Arial"/>
                <w:b/>
                <w:bCs/>
                <w:color w:val="1B2A4A"/>
                <w:sz w:val="20"/>
                <w:szCs w:val="20"/>
              </w:rPr>
              <w:t xml:space="preserve">Brick &amp; Mortar Offices</w:t>
            </w:r>
          </w:p>
        </w:tc>
        <w:tc>
          <w:tcPr>
            <w:tcW w:type="dxa" w:w="6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Richardson TX, Euless TX, Wichita KS, Denver CO, Valdosta GA, North Carolina</w:t>
            </w:r>
          </w:p>
        </w:tc>
      </w:tr>
      <w:tr>
        <w:tc>
          <w:tcPr>
            <w:tcW w:type="dxa" w:w="2400"/>
            <w:tcBorders>
              <w:top w:val="single" w:color="BDC3C7" w:sz="1"/>
              <w:left w:val="single" w:color="BDC3C7" w:sz="1"/>
              <w:bottom w:val="single" w:color="BDC3C7" w:sz="1"/>
              <w:right w:val="single" w:color="BDC3C7" w:sz="1"/>
            </w:tcBorders>
            <w:shd w:fill="EDF2F7" w:val="clear"/>
            <w:tcMar>
              <w:top w:type="dxa" w:w="80"/>
              <w:left w:type="dxa" w:w="120"/>
              <w:bottom w:type="dxa" w:w="80"/>
              <w:right w:type="dxa" w:w="120"/>
            </w:tcMar>
          </w:tcPr>
          <w:p>
            <w:r>
              <w:rPr>
                <w:rFonts w:ascii="Arial" w:cs="Arial" w:eastAsia="Arial" w:hAnsi="Arial"/>
                <w:b/>
                <w:bCs/>
                <w:color w:val="1B2A4A"/>
                <w:sz w:val="20"/>
                <w:szCs w:val="20"/>
              </w:rPr>
              <w:t xml:space="preserve">Satellite Office</w:t>
            </w:r>
          </w:p>
        </w:tc>
        <w:tc>
          <w:tcPr>
            <w:tcW w:type="dxa" w:w="6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Georgia (distinct icon)</w:t>
            </w:r>
          </w:p>
        </w:tc>
      </w:tr>
      <w:tr>
        <w:tc>
          <w:tcPr>
            <w:tcW w:type="dxa" w:w="2400"/>
            <w:tcBorders>
              <w:top w:val="single" w:color="BDC3C7" w:sz="1"/>
              <w:left w:val="single" w:color="BDC3C7" w:sz="1"/>
              <w:bottom w:val="single" w:color="BDC3C7" w:sz="1"/>
              <w:right w:val="single" w:color="BDC3C7" w:sz="1"/>
            </w:tcBorders>
            <w:shd w:fill="EDF2F7" w:val="clear"/>
            <w:tcMar>
              <w:top w:type="dxa" w:w="80"/>
              <w:left w:type="dxa" w:w="120"/>
              <w:bottom w:type="dxa" w:w="80"/>
              <w:right w:type="dxa" w:w="120"/>
            </w:tcMar>
          </w:tcPr>
          <w:p>
            <w:r>
              <w:rPr>
                <w:rFonts w:ascii="Arial" w:cs="Arial" w:eastAsia="Arial" w:hAnsi="Arial"/>
                <w:b/>
                <w:bCs/>
                <w:color w:val="1B2A4A"/>
                <w:sz w:val="20"/>
                <w:szCs w:val="20"/>
              </w:rPr>
              <w:t xml:space="preserve">Legend Required</w:t>
            </w:r>
          </w:p>
        </w:tc>
        <w:tc>
          <w:tcPr>
            <w:tcW w:type="dxa" w:w="6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Yes — bold/light states + B&amp;M/satellite pin types</w:t>
            </w:r>
          </w:p>
        </w:tc>
      </w:tr>
    </w:tbl>
    <w:p>
      <w:pPr>
        <w:spacing w:before="120"/>
      </w:pPr>
    </w:p>
    <w:p>
      <w:pPr>
        <w:spacing w:after="120"/>
      </w:pPr>
      <w:r>
        <w:rPr>
          <w:rFonts w:ascii="Arial" w:cs="Arial" w:eastAsia="Arial" w:hAnsi="Arial"/>
          <w:b/>
          <w:bCs/>
          <w:color w:val="2E75B6"/>
          <w:sz w:val="22"/>
          <w:szCs w:val="22"/>
        </w:rPr>
        <w:t xml:space="preserve">Maren’s take: </w:t>
      </w:r>
      <w:r>
        <w:rPr>
          <w:rFonts w:ascii="Arial" w:cs="Arial" w:eastAsia="Arial" w:hAnsi="Arial"/>
          <w:color w:val="2C3E50"/>
          <w:sz w:val="22"/>
          <w:szCs w:val="22"/>
        </w:rPr>
        <w:t xml:space="preserve">Strong geographic proof system. This map needs to be interactive, not a static image. Each state and pin should be clickable, linking to a location-specific landing page (which the current IA doesn’t include — see Section 5). SVG-based for crisp rendering at any viewport, with accessible aria labels and keyboard navigation. The legend is non-negotiable for accessibility. This section also needs schema markup for LocalBusiness at each office location.</w:t>
      </w:r>
    </w:p>
    <w:p>
      <w:pPr>
        <w:pStyle w:val="Heading2"/>
      </w:pPr>
      <w:r>
        <w:t xml:space="preserve">3.4 Homepage Content Block — STRATEGIC INTERVENTION REQUIRED</w:t>
      </w:r>
    </w:p>
    <w:p>
      <w:pPr>
        <w:spacing w:after="120"/>
      </w:pPr>
      <w:r>
        <w:rPr>
          <w:rFonts w:ascii="Arial" w:cs="Arial" w:eastAsia="Arial" w:hAnsi="Arial"/>
          <w:b/>
          <w:bCs/>
          <w:color w:val="C0392B"/>
          <w:sz w:val="22"/>
          <w:szCs w:val="22"/>
        </w:rPr>
        <w:t xml:space="preserve">CRITICAL FLAG: </w:t>
      </w:r>
      <w:r>
        <w:rPr>
          <w:rFonts w:ascii="Arial" w:cs="Arial" w:eastAsia="Arial" w:hAnsi="Arial"/>
          <w:color w:val="2C3E50"/>
          <w:sz w:val="22"/>
          <w:szCs w:val="22"/>
        </w:rPr>
        <w:t xml:space="preserve">The client has included approximately 1,500 words of detailed commercial/multifamily services content in the homepage spec. This content covers service divisions, manufacturer certifications, roofing systems, warranty structures, and a full CTA. This is a complete service page, not homepage content.</w:t>
      </w:r>
    </w:p>
    <w:p>
      <w:pPr>
        <w:spacing w:after="120"/>
      </w:pPr>
      <w:r>
        <w:rPr>
          <w:rFonts w:ascii="Arial" w:cs="Arial" w:eastAsia="Arial" w:hAnsi="Arial"/>
          <w:b/>
          <w:bCs/>
          <w:color w:val="2C3E50"/>
          <w:sz w:val="22"/>
          <w:szCs w:val="22"/>
        </w:rPr>
        <w:t xml:space="preserve">Why this matters: </w:t>
      </w:r>
      <w:r>
        <w:rPr>
          <w:rFonts w:ascii="Arial" w:cs="Arial" w:eastAsia="Arial" w:hAnsi="Arial"/>
          <w:color w:val="2C3E50"/>
          <w:sz w:val="22"/>
          <w:szCs w:val="22"/>
        </w:rPr>
        <w:t xml:space="preserve">A homepage that forces every visitor through a deep commercial services narrative before they can find anything else will (a) kill residential conversion by making homeowners feel this company isn’t for them, (b) push the actual conversion elements below the fold by thousands of pixels, (c) create a bounce rate problem as visitors who aren’t procurement officers hit a wall of institutional language, and (d) dilute the homepage’s SEO focus by targeting commercial service keywords that belong on the dedicated service page.</w:t>
      </w:r>
    </w:p>
    <w:p>
      <w:pPr>
        <w:spacing w:after="120"/>
      </w:pPr>
      <w:r>
        <w:rPr>
          <w:rFonts w:ascii="Arial" w:cs="Arial" w:eastAsia="Arial" w:hAnsi="Arial"/>
          <w:b/>
          <w:bCs/>
          <w:color w:val="27AE60"/>
          <w:sz w:val="22"/>
          <w:szCs w:val="22"/>
        </w:rPr>
        <w:t xml:space="preserve">Recommendation: </w:t>
      </w:r>
      <w:r>
        <w:rPr>
          <w:rFonts w:ascii="Arial" w:cs="Arial" w:eastAsia="Arial" w:hAnsi="Arial"/>
          <w:color w:val="2C3E50"/>
          <w:sz w:val="22"/>
          <w:szCs w:val="22"/>
        </w:rPr>
        <w:t xml:space="preserve">Move 100% of this content to the Multifamily &amp; Commercial Services page where it belongs. It’s excellent content — technically specific, credibility-rich, and well-structured. On the homepage, replace it with a concise services overview section that gives both audiences a clear entry point: a commercial card and a residential card, each with a strong value proposition and a CTA that routes to the respective service page. Fifteen seconds to self-select, not fifteen minutes of scrolling.</w:t>
      </w:r>
    </w:p>
    <w:p>
      <w:r>
        <w:br w:type="page"/>
      </w:r>
    </w:p>
    <w:p>
      <w:pPr>
        <w:pStyle w:val="Heading1"/>
      </w:pPr>
      <w:r>
        <w:t xml:space="preserve">4. Content Inventory — What We Have vs. What We Need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2400"/>
        <w:gridCol w:w="2560"/>
      </w:tblGrid>
      <w:tr>
        <w:tc>
          <w:tcPr>
            <w:tcW w:type="dxa" w:w="2800"/>
            <w:tcBorders>
              <w:top w:val="single" w:color="BDC3C7" w:sz="1"/>
              <w:left w:val="single" w:color="BDC3C7" w:sz="1"/>
              <w:bottom w:val="single" w:color="BDC3C7" w:sz="1"/>
              <w:right w:val="single" w:color="BDC3C7"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Page / Section</w:t>
            </w:r>
          </w:p>
        </w:tc>
        <w:tc>
          <w:tcPr>
            <w:tcW w:type="dxa" w:w="1600"/>
            <w:tcBorders>
              <w:top w:val="single" w:color="BDC3C7" w:sz="1"/>
              <w:left w:val="single" w:color="BDC3C7" w:sz="1"/>
              <w:bottom w:val="single" w:color="BDC3C7" w:sz="1"/>
              <w:right w:val="single" w:color="BDC3C7"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Content Status</w:t>
            </w:r>
          </w:p>
        </w:tc>
        <w:tc>
          <w:tcPr>
            <w:tcW w:type="dxa" w:w="2400"/>
            <w:tcBorders>
              <w:top w:val="single" w:color="BDC3C7" w:sz="1"/>
              <w:left w:val="single" w:color="BDC3C7" w:sz="1"/>
              <w:bottom w:val="single" w:color="BDC3C7" w:sz="1"/>
              <w:right w:val="single" w:color="BDC3C7"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Quality Assessment</w:t>
            </w:r>
          </w:p>
        </w:tc>
        <w:tc>
          <w:tcPr>
            <w:tcW w:type="dxa" w:w="2560"/>
            <w:tcBorders>
              <w:top w:val="single" w:color="BDC3C7" w:sz="1"/>
              <w:left w:val="single" w:color="BDC3C7" w:sz="1"/>
              <w:bottom w:val="single" w:color="BDC3C7" w:sz="1"/>
              <w:right w:val="single" w:color="BDC3C7"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Action Required</w:t>
            </w:r>
          </w:p>
        </w:tc>
      </w:tr>
      <w:tr>
        <w:tc>
          <w:tcPr>
            <w:tcW w:type="dxa" w:w="2800"/>
            <w:tcBorders>
              <w:top w:val="single" w:color="BDC3C7" w:sz="1"/>
              <w:left w:val="single" w:color="BDC3C7" w:sz="1"/>
              <w:bottom w:val="single" w:color="BDC3C7" w:sz="1"/>
              <w:right w:val="single" w:color="BDC3C7" w:sz="1"/>
            </w:tcBorders>
            <w:shd w:fill="EDF2F7" w:val="clear"/>
            <w:tcMar>
              <w:top w:type="dxa" w:w="80"/>
              <w:left w:type="dxa" w:w="120"/>
              <w:bottom w:type="dxa" w:w="80"/>
              <w:right w:type="dxa" w:w="120"/>
            </w:tcMar>
          </w:tcPr>
          <w:p>
            <w:r>
              <w:rPr>
                <w:rFonts w:ascii="Arial" w:cs="Arial" w:eastAsia="Arial" w:hAnsi="Arial"/>
                <w:b/>
                <w:bCs/>
                <w:color w:val="2C3E50"/>
                <w:sz w:val="18"/>
                <w:szCs w:val="18"/>
              </w:rPr>
              <w:t xml:space="preserve">Homepage Hero</w:t>
            </w:r>
          </w:p>
        </w:tc>
        <w:tc>
          <w:tcPr>
            <w:tcW w:type="dxa" w:w="1600"/>
            <w:tcBorders>
              <w:top w:val="single" w:color="BDC3C7" w:sz="1"/>
              <w:left w:val="single" w:color="BDC3C7" w:sz="1"/>
              <w:bottom w:val="single" w:color="BDC3C7" w:sz="1"/>
              <w:right w:val="single" w:color="BDC3C7" w:sz="1"/>
            </w:tcBorders>
            <w:shd w:fill="EDF2F7" w:val="clear"/>
            <w:tcMar>
              <w:top w:type="dxa" w:w="80"/>
              <w:left w:type="dxa" w:w="120"/>
              <w:bottom w:type="dxa" w:w="80"/>
              <w:right w:type="dxa" w:w="120"/>
            </w:tcMar>
          </w:tcPr>
          <w:p>
            <w:r>
              <w:rPr>
                <w:rFonts w:ascii="Arial" w:cs="Arial" w:eastAsia="Arial" w:hAnsi="Arial"/>
                <w:b w:val="false"/>
                <w:bCs w:val="false"/>
                <w:color w:val="2C3E50"/>
                <w:sz w:val="18"/>
                <w:szCs w:val="18"/>
              </w:rPr>
              <w:t xml:space="preserve">Specified</w:t>
            </w:r>
          </w:p>
        </w:tc>
        <w:tc>
          <w:tcPr>
            <w:tcW w:type="dxa" w:w="2400"/>
            <w:tcBorders>
              <w:top w:val="single" w:color="BDC3C7" w:sz="1"/>
              <w:left w:val="single" w:color="BDC3C7" w:sz="1"/>
              <w:bottom w:val="single" w:color="BDC3C7" w:sz="1"/>
              <w:right w:val="single" w:color="BDC3C7" w:sz="1"/>
            </w:tcBorders>
            <w:shd w:fill="EDF2F7" w:val="clear"/>
            <w:tcMar>
              <w:top w:type="dxa" w:w="80"/>
              <w:left w:type="dxa" w:w="120"/>
              <w:bottom w:type="dxa" w:w="80"/>
              <w:right w:type="dxa" w:w="120"/>
            </w:tcMar>
          </w:tcPr>
          <w:p>
            <w:r>
              <w:rPr>
                <w:rFonts w:ascii="Arial" w:cs="Arial" w:eastAsia="Arial" w:hAnsi="Arial"/>
                <w:b w:val="false"/>
                <w:bCs w:val="false"/>
                <w:color w:val="2C3E50"/>
                <w:sz w:val="18"/>
                <w:szCs w:val="18"/>
              </w:rPr>
              <w:t xml:space="preserve">Strong</w:t>
            </w:r>
          </w:p>
        </w:tc>
        <w:tc>
          <w:tcPr>
            <w:tcW w:type="dxa" w:w="2560"/>
            <w:tcBorders>
              <w:top w:val="single" w:color="BDC3C7" w:sz="1"/>
              <w:left w:val="single" w:color="BDC3C7" w:sz="1"/>
              <w:bottom w:val="single" w:color="BDC3C7" w:sz="1"/>
              <w:right w:val="single" w:color="BDC3C7" w:sz="1"/>
            </w:tcBorders>
            <w:shd w:fill="EDF2F7" w:val="clear"/>
            <w:tcMar>
              <w:top w:type="dxa" w:w="80"/>
              <w:left w:type="dxa" w:w="120"/>
              <w:bottom w:type="dxa" w:w="80"/>
              <w:right w:type="dxa" w:w="120"/>
            </w:tcMar>
          </w:tcPr>
          <w:p>
            <w:r>
              <w:rPr>
                <w:rFonts w:ascii="Arial" w:cs="Arial" w:eastAsia="Arial" w:hAnsi="Arial"/>
                <w:b w:val="false"/>
                <w:bCs w:val="false"/>
                <w:color w:val="2C3E50"/>
                <w:sz w:val="18"/>
                <w:szCs w:val="18"/>
              </w:rPr>
              <w:t xml:space="preserve">Source TMS video file</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18"/>
                <w:szCs w:val="18"/>
              </w:rPr>
              <w:t xml:space="preserve">Testimonials</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18"/>
                <w:szCs w:val="18"/>
              </w:rPr>
              <w:t xml:space="preserve">Concept only</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18"/>
                <w:szCs w:val="18"/>
              </w:rPr>
              <w:t xml:space="preserve">N/A</w:t>
            </w:r>
          </w:p>
        </w:tc>
        <w:tc>
          <w:tcPr>
            <w:tcW w:type="dxa" w:w="2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18"/>
                <w:szCs w:val="18"/>
              </w:rPr>
              <w:t xml:space="preserve">Need actual review content</w:t>
            </w:r>
          </w:p>
        </w:tc>
      </w:tr>
      <w:tr>
        <w:tc>
          <w:tcPr>
            <w:tcW w:type="dxa" w:w="2800"/>
            <w:tcBorders>
              <w:top w:val="single" w:color="BDC3C7" w:sz="1"/>
              <w:left w:val="single" w:color="BDC3C7" w:sz="1"/>
              <w:bottom w:val="single" w:color="BDC3C7" w:sz="1"/>
              <w:right w:val="single" w:color="BDC3C7" w:sz="1"/>
            </w:tcBorders>
            <w:shd w:fill="EDF2F7" w:val="clear"/>
            <w:tcMar>
              <w:top w:type="dxa" w:w="80"/>
              <w:left w:type="dxa" w:w="120"/>
              <w:bottom w:type="dxa" w:w="80"/>
              <w:right w:type="dxa" w:w="120"/>
            </w:tcMar>
          </w:tcPr>
          <w:p>
            <w:r>
              <w:rPr>
                <w:rFonts w:ascii="Arial" w:cs="Arial" w:eastAsia="Arial" w:hAnsi="Arial"/>
                <w:b/>
                <w:bCs/>
                <w:color w:val="2C3E50"/>
                <w:sz w:val="18"/>
                <w:szCs w:val="18"/>
              </w:rPr>
              <w:t xml:space="preserve">US Map</w:t>
            </w:r>
          </w:p>
        </w:tc>
        <w:tc>
          <w:tcPr>
            <w:tcW w:type="dxa" w:w="1600"/>
            <w:tcBorders>
              <w:top w:val="single" w:color="BDC3C7" w:sz="1"/>
              <w:left w:val="single" w:color="BDC3C7" w:sz="1"/>
              <w:bottom w:val="single" w:color="BDC3C7" w:sz="1"/>
              <w:right w:val="single" w:color="BDC3C7" w:sz="1"/>
            </w:tcBorders>
            <w:shd w:fill="EDF2F7" w:val="clear"/>
            <w:tcMar>
              <w:top w:type="dxa" w:w="80"/>
              <w:left w:type="dxa" w:w="120"/>
              <w:bottom w:type="dxa" w:w="80"/>
              <w:right w:type="dxa" w:w="120"/>
            </w:tcMar>
          </w:tcPr>
          <w:p>
            <w:r>
              <w:rPr>
                <w:rFonts w:ascii="Arial" w:cs="Arial" w:eastAsia="Arial" w:hAnsi="Arial"/>
                <w:b w:val="false"/>
                <w:bCs w:val="false"/>
                <w:color w:val="2C3E50"/>
                <w:sz w:val="18"/>
                <w:szCs w:val="18"/>
              </w:rPr>
              <w:t xml:space="preserve">Detailed spec</w:t>
            </w:r>
          </w:p>
        </w:tc>
        <w:tc>
          <w:tcPr>
            <w:tcW w:type="dxa" w:w="2400"/>
            <w:tcBorders>
              <w:top w:val="single" w:color="BDC3C7" w:sz="1"/>
              <w:left w:val="single" w:color="BDC3C7" w:sz="1"/>
              <w:bottom w:val="single" w:color="BDC3C7" w:sz="1"/>
              <w:right w:val="single" w:color="BDC3C7" w:sz="1"/>
            </w:tcBorders>
            <w:shd w:fill="EDF2F7" w:val="clear"/>
            <w:tcMar>
              <w:top w:type="dxa" w:w="80"/>
              <w:left w:type="dxa" w:w="120"/>
              <w:bottom w:type="dxa" w:w="80"/>
              <w:right w:type="dxa" w:w="120"/>
            </w:tcMar>
          </w:tcPr>
          <w:p>
            <w:r>
              <w:rPr>
                <w:rFonts w:ascii="Arial" w:cs="Arial" w:eastAsia="Arial" w:hAnsi="Arial"/>
                <w:b w:val="false"/>
                <w:bCs w:val="false"/>
                <w:color w:val="2C3E50"/>
                <w:sz w:val="18"/>
                <w:szCs w:val="18"/>
              </w:rPr>
              <w:t xml:space="preserve">Strong</w:t>
            </w:r>
          </w:p>
        </w:tc>
        <w:tc>
          <w:tcPr>
            <w:tcW w:type="dxa" w:w="2560"/>
            <w:tcBorders>
              <w:top w:val="single" w:color="BDC3C7" w:sz="1"/>
              <w:left w:val="single" w:color="BDC3C7" w:sz="1"/>
              <w:bottom w:val="single" w:color="BDC3C7" w:sz="1"/>
              <w:right w:val="single" w:color="BDC3C7" w:sz="1"/>
            </w:tcBorders>
            <w:shd w:fill="EDF2F7" w:val="clear"/>
            <w:tcMar>
              <w:top w:type="dxa" w:w="80"/>
              <w:left w:type="dxa" w:w="120"/>
              <w:bottom w:type="dxa" w:w="80"/>
              <w:right w:type="dxa" w:w="120"/>
            </w:tcMar>
          </w:tcPr>
          <w:p>
            <w:r>
              <w:rPr>
                <w:rFonts w:ascii="Arial" w:cs="Arial" w:eastAsia="Arial" w:hAnsi="Arial"/>
                <w:b w:val="false"/>
                <w:bCs w:val="false"/>
                <w:color w:val="2C3E50"/>
                <w:sz w:val="18"/>
                <w:szCs w:val="18"/>
              </w:rPr>
              <w:t xml:space="preserve">Build interactive SVG</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18"/>
                <w:szCs w:val="18"/>
              </w:rPr>
              <w:t xml:space="preserve">Commercial Services</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18"/>
                <w:szCs w:val="18"/>
              </w:rPr>
              <w:t xml:space="preserve">Full draft</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18"/>
                <w:szCs w:val="18"/>
              </w:rPr>
              <w:t xml:space="preserve">Excellent</w:t>
            </w:r>
          </w:p>
        </w:tc>
        <w:tc>
          <w:tcPr>
            <w:tcW w:type="dxa" w:w="2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18"/>
                <w:szCs w:val="18"/>
              </w:rPr>
              <w:t xml:space="preserve">Move to service page</w:t>
            </w:r>
          </w:p>
        </w:tc>
      </w:tr>
      <w:tr>
        <w:tc>
          <w:tcPr>
            <w:tcW w:type="dxa" w:w="2800"/>
            <w:tcBorders>
              <w:top w:val="single" w:color="BDC3C7" w:sz="1"/>
              <w:left w:val="single" w:color="BDC3C7" w:sz="1"/>
              <w:bottom w:val="single" w:color="BDC3C7" w:sz="1"/>
              <w:right w:val="single" w:color="BDC3C7" w:sz="1"/>
            </w:tcBorders>
            <w:shd w:fill="EDF2F7" w:val="clear"/>
            <w:tcMar>
              <w:top w:type="dxa" w:w="80"/>
              <w:left w:type="dxa" w:w="120"/>
              <w:bottom w:type="dxa" w:w="80"/>
              <w:right w:type="dxa" w:w="120"/>
            </w:tcMar>
          </w:tcPr>
          <w:p>
            <w:r>
              <w:rPr>
                <w:rFonts w:ascii="Arial" w:cs="Arial" w:eastAsia="Arial" w:hAnsi="Arial"/>
                <w:b/>
                <w:bCs/>
                <w:color w:val="2C3E50"/>
                <w:sz w:val="18"/>
                <w:szCs w:val="18"/>
              </w:rPr>
              <w:t xml:space="preserve">Residential Services</w:t>
            </w:r>
          </w:p>
        </w:tc>
        <w:tc>
          <w:tcPr>
            <w:tcW w:type="dxa" w:w="1600"/>
            <w:tcBorders>
              <w:top w:val="single" w:color="BDC3C7" w:sz="1"/>
              <w:left w:val="single" w:color="BDC3C7" w:sz="1"/>
              <w:bottom w:val="single" w:color="BDC3C7" w:sz="1"/>
              <w:right w:val="single" w:color="BDC3C7" w:sz="1"/>
            </w:tcBorders>
            <w:shd w:fill="EDF2F7" w:val="clear"/>
            <w:tcMar>
              <w:top w:type="dxa" w:w="80"/>
              <w:left w:type="dxa" w:w="120"/>
              <w:bottom w:type="dxa" w:w="80"/>
              <w:right w:type="dxa" w:w="120"/>
            </w:tcMar>
          </w:tcPr>
          <w:p>
            <w:r>
              <w:rPr>
                <w:rFonts w:ascii="Arial" w:cs="Arial" w:eastAsia="Arial" w:hAnsi="Arial"/>
                <w:b w:val="false"/>
                <w:bCs w:val="false"/>
                <w:color w:val="2C3E50"/>
                <w:sz w:val="18"/>
                <w:szCs w:val="18"/>
              </w:rPr>
              <w:t xml:space="preserve">Not provided</w:t>
            </w:r>
          </w:p>
        </w:tc>
        <w:tc>
          <w:tcPr>
            <w:tcW w:type="dxa" w:w="2400"/>
            <w:tcBorders>
              <w:top w:val="single" w:color="BDC3C7" w:sz="1"/>
              <w:left w:val="single" w:color="BDC3C7" w:sz="1"/>
              <w:bottom w:val="single" w:color="BDC3C7" w:sz="1"/>
              <w:right w:val="single" w:color="BDC3C7" w:sz="1"/>
            </w:tcBorders>
            <w:shd w:fill="EDF2F7" w:val="clear"/>
            <w:tcMar>
              <w:top w:type="dxa" w:w="80"/>
              <w:left w:type="dxa" w:w="120"/>
              <w:bottom w:type="dxa" w:w="80"/>
              <w:right w:type="dxa" w:w="120"/>
            </w:tcMar>
          </w:tcPr>
          <w:p>
            <w:r>
              <w:rPr>
                <w:rFonts w:ascii="Arial" w:cs="Arial" w:eastAsia="Arial" w:hAnsi="Arial"/>
                <w:b w:val="false"/>
                <w:bCs w:val="false"/>
                <w:color w:val="2C3E50"/>
                <w:sz w:val="18"/>
                <w:szCs w:val="18"/>
              </w:rPr>
              <w:t xml:space="preserve">—</w:t>
            </w:r>
          </w:p>
        </w:tc>
        <w:tc>
          <w:tcPr>
            <w:tcW w:type="dxa" w:w="2560"/>
            <w:tcBorders>
              <w:top w:val="single" w:color="BDC3C7" w:sz="1"/>
              <w:left w:val="single" w:color="BDC3C7" w:sz="1"/>
              <w:bottom w:val="single" w:color="BDC3C7" w:sz="1"/>
              <w:right w:val="single" w:color="BDC3C7" w:sz="1"/>
            </w:tcBorders>
            <w:shd w:fill="EDF2F7" w:val="clear"/>
            <w:tcMar>
              <w:top w:type="dxa" w:w="80"/>
              <w:left w:type="dxa" w:w="120"/>
              <w:bottom w:type="dxa" w:w="80"/>
              <w:right w:type="dxa" w:w="120"/>
            </w:tcMar>
          </w:tcPr>
          <w:p>
            <w:r>
              <w:rPr>
                <w:rFonts w:ascii="Arial" w:cs="Arial" w:eastAsia="Arial" w:hAnsi="Arial"/>
                <w:b/>
                <w:bCs/>
                <w:color w:val="C0392B"/>
                <w:sz w:val="18"/>
                <w:szCs w:val="18"/>
              </w:rPr>
              <w:t xml:space="preserve">BLOCKING: Need content</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18"/>
                <w:szCs w:val="18"/>
              </w:rPr>
              <w:t xml:space="preserve">Roof Asset Mgmt</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18"/>
                <w:szCs w:val="18"/>
              </w:rPr>
              <w:t xml:space="preserve">Not provided</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18"/>
                <w:szCs w:val="18"/>
              </w:rPr>
              <w:t xml:space="preserve">—</w:t>
            </w:r>
          </w:p>
        </w:tc>
        <w:tc>
          <w:tcPr>
            <w:tcW w:type="dxa" w:w="2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18"/>
                <w:szCs w:val="18"/>
              </w:rPr>
              <w:t xml:space="preserve">Awaiting client email</w:t>
            </w:r>
          </w:p>
        </w:tc>
      </w:tr>
      <w:tr>
        <w:tc>
          <w:tcPr>
            <w:tcW w:type="dxa" w:w="2800"/>
            <w:tcBorders>
              <w:top w:val="single" w:color="BDC3C7" w:sz="1"/>
              <w:left w:val="single" w:color="BDC3C7" w:sz="1"/>
              <w:bottom w:val="single" w:color="BDC3C7" w:sz="1"/>
              <w:right w:val="single" w:color="BDC3C7" w:sz="1"/>
            </w:tcBorders>
            <w:shd w:fill="EDF2F7" w:val="clear"/>
            <w:tcMar>
              <w:top w:type="dxa" w:w="80"/>
              <w:left w:type="dxa" w:w="120"/>
              <w:bottom w:type="dxa" w:w="80"/>
              <w:right w:type="dxa" w:w="120"/>
            </w:tcMar>
          </w:tcPr>
          <w:p>
            <w:r>
              <w:rPr>
                <w:rFonts w:ascii="Arial" w:cs="Arial" w:eastAsia="Arial" w:hAnsi="Arial"/>
                <w:b/>
                <w:bCs/>
                <w:color w:val="2C3E50"/>
                <w:sz w:val="18"/>
                <w:szCs w:val="18"/>
              </w:rPr>
              <w:t xml:space="preserve">Mission Statement</w:t>
            </w:r>
          </w:p>
        </w:tc>
        <w:tc>
          <w:tcPr>
            <w:tcW w:type="dxa" w:w="1600"/>
            <w:tcBorders>
              <w:top w:val="single" w:color="BDC3C7" w:sz="1"/>
              <w:left w:val="single" w:color="BDC3C7" w:sz="1"/>
              <w:bottom w:val="single" w:color="BDC3C7" w:sz="1"/>
              <w:right w:val="single" w:color="BDC3C7" w:sz="1"/>
            </w:tcBorders>
            <w:shd w:fill="EDF2F7" w:val="clear"/>
            <w:tcMar>
              <w:top w:type="dxa" w:w="80"/>
              <w:left w:type="dxa" w:w="120"/>
              <w:bottom w:type="dxa" w:w="80"/>
              <w:right w:type="dxa" w:w="120"/>
            </w:tcMar>
          </w:tcPr>
          <w:p>
            <w:r>
              <w:rPr>
                <w:rFonts w:ascii="Arial" w:cs="Arial" w:eastAsia="Arial" w:hAnsi="Arial"/>
                <w:b w:val="false"/>
                <w:bCs w:val="false"/>
                <w:color w:val="2C3E50"/>
                <w:sz w:val="18"/>
                <w:szCs w:val="18"/>
              </w:rPr>
              <w:t xml:space="preserve">Not provided</w:t>
            </w:r>
          </w:p>
        </w:tc>
        <w:tc>
          <w:tcPr>
            <w:tcW w:type="dxa" w:w="2400"/>
            <w:tcBorders>
              <w:top w:val="single" w:color="BDC3C7" w:sz="1"/>
              <w:left w:val="single" w:color="BDC3C7" w:sz="1"/>
              <w:bottom w:val="single" w:color="BDC3C7" w:sz="1"/>
              <w:right w:val="single" w:color="BDC3C7" w:sz="1"/>
            </w:tcBorders>
            <w:shd w:fill="EDF2F7" w:val="clear"/>
            <w:tcMar>
              <w:top w:type="dxa" w:w="80"/>
              <w:left w:type="dxa" w:w="120"/>
              <w:bottom w:type="dxa" w:w="80"/>
              <w:right w:type="dxa" w:w="120"/>
            </w:tcMar>
          </w:tcPr>
          <w:p>
            <w:r>
              <w:rPr>
                <w:rFonts w:ascii="Arial" w:cs="Arial" w:eastAsia="Arial" w:hAnsi="Arial"/>
                <w:b w:val="false"/>
                <w:bCs w:val="false"/>
                <w:color w:val="2C3E50"/>
                <w:sz w:val="18"/>
                <w:szCs w:val="18"/>
              </w:rPr>
              <w:t xml:space="preserve">—</w:t>
            </w:r>
          </w:p>
        </w:tc>
        <w:tc>
          <w:tcPr>
            <w:tcW w:type="dxa" w:w="2560"/>
            <w:tcBorders>
              <w:top w:val="single" w:color="BDC3C7" w:sz="1"/>
              <w:left w:val="single" w:color="BDC3C7" w:sz="1"/>
              <w:bottom w:val="single" w:color="BDC3C7" w:sz="1"/>
              <w:right w:val="single" w:color="BDC3C7" w:sz="1"/>
            </w:tcBorders>
            <w:shd w:fill="EDF2F7" w:val="clear"/>
            <w:tcMar>
              <w:top w:type="dxa" w:w="80"/>
              <w:left w:type="dxa" w:w="120"/>
              <w:bottom w:type="dxa" w:w="80"/>
              <w:right w:type="dxa" w:w="120"/>
            </w:tcMar>
          </w:tcPr>
          <w:p>
            <w:r>
              <w:rPr>
                <w:rFonts w:ascii="Arial" w:cs="Arial" w:eastAsia="Arial" w:hAnsi="Arial"/>
                <w:b w:val="false"/>
                <w:bCs w:val="false"/>
                <w:color w:val="2C3E50"/>
                <w:sz w:val="18"/>
                <w:szCs w:val="18"/>
              </w:rPr>
              <w:t xml:space="preserve">Awaiting client email</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18"/>
                <w:szCs w:val="18"/>
              </w:rPr>
              <w:t xml:space="preserve">Pro Ministries</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18"/>
                <w:szCs w:val="18"/>
              </w:rPr>
              <w:t xml:space="preserve">Not provided</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18"/>
                <w:szCs w:val="18"/>
              </w:rPr>
              <w:t xml:space="preserve">—</w:t>
            </w:r>
          </w:p>
        </w:tc>
        <w:tc>
          <w:tcPr>
            <w:tcW w:type="dxa" w:w="2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18"/>
                <w:szCs w:val="18"/>
              </w:rPr>
              <w:t xml:space="preserve">Awaiting client email</w:t>
            </w:r>
          </w:p>
        </w:tc>
      </w:tr>
      <w:tr>
        <w:tc>
          <w:tcPr>
            <w:tcW w:type="dxa" w:w="2800"/>
            <w:tcBorders>
              <w:top w:val="single" w:color="BDC3C7" w:sz="1"/>
              <w:left w:val="single" w:color="BDC3C7" w:sz="1"/>
              <w:bottom w:val="single" w:color="BDC3C7" w:sz="1"/>
              <w:right w:val="single" w:color="BDC3C7" w:sz="1"/>
            </w:tcBorders>
            <w:shd w:fill="EDF2F7" w:val="clear"/>
            <w:tcMar>
              <w:top w:type="dxa" w:w="80"/>
              <w:left w:type="dxa" w:w="120"/>
              <w:bottom w:type="dxa" w:w="80"/>
              <w:right w:type="dxa" w:w="120"/>
            </w:tcMar>
          </w:tcPr>
          <w:p>
            <w:r>
              <w:rPr>
                <w:rFonts w:ascii="Arial" w:cs="Arial" w:eastAsia="Arial" w:hAnsi="Arial"/>
                <w:b/>
                <w:bCs/>
                <w:color w:val="2C3E50"/>
                <w:sz w:val="18"/>
                <w:szCs w:val="18"/>
              </w:rPr>
              <w:t xml:space="preserve">Operations/Leadership</w:t>
            </w:r>
          </w:p>
        </w:tc>
        <w:tc>
          <w:tcPr>
            <w:tcW w:type="dxa" w:w="1600"/>
            <w:tcBorders>
              <w:top w:val="single" w:color="BDC3C7" w:sz="1"/>
              <w:left w:val="single" w:color="BDC3C7" w:sz="1"/>
              <w:bottom w:val="single" w:color="BDC3C7" w:sz="1"/>
              <w:right w:val="single" w:color="BDC3C7" w:sz="1"/>
            </w:tcBorders>
            <w:shd w:fill="EDF2F7" w:val="clear"/>
            <w:tcMar>
              <w:top w:type="dxa" w:w="80"/>
              <w:left w:type="dxa" w:w="120"/>
              <w:bottom w:type="dxa" w:w="80"/>
              <w:right w:type="dxa" w:w="120"/>
            </w:tcMar>
          </w:tcPr>
          <w:p>
            <w:r>
              <w:rPr>
                <w:rFonts w:ascii="Arial" w:cs="Arial" w:eastAsia="Arial" w:hAnsi="Arial"/>
                <w:b w:val="false"/>
                <w:bCs w:val="false"/>
                <w:color w:val="2C3E50"/>
                <w:sz w:val="18"/>
                <w:szCs w:val="18"/>
              </w:rPr>
              <w:t xml:space="preserve">Not provided</w:t>
            </w:r>
          </w:p>
        </w:tc>
        <w:tc>
          <w:tcPr>
            <w:tcW w:type="dxa" w:w="2400"/>
            <w:tcBorders>
              <w:top w:val="single" w:color="BDC3C7" w:sz="1"/>
              <w:left w:val="single" w:color="BDC3C7" w:sz="1"/>
              <w:bottom w:val="single" w:color="BDC3C7" w:sz="1"/>
              <w:right w:val="single" w:color="BDC3C7" w:sz="1"/>
            </w:tcBorders>
            <w:shd w:fill="EDF2F7" w:val="clear"/>
            <w:tcMar>
              <w:top w:type="dxa" w:w="80"/>
              <w:left w:type="dxa" w:w="120"/>
              <w:bottom w:type="dxa" w:w="80"/>
              <w:right w:type="dxa" w:w="120"/>
            </w:tcMar>
          </w:tcPr>
          <w:p>
            <w:r>
              <w:rPr>
                <w:rFonts w:ascii="Arial" w:cs="Arial" w:eastAsia="Arial" w:hAnsi="Arial"/>
                <w:b w:val="false"/>
                <w:bCs w:val="false"/>
                <w:color w:val="2C3E50"/>
                <w:sz w:val="18"/>
                <w:szCs w:val="18"/>
              </w:rPr>
              <w:t xml:space="preserve">—</w:t>
            </w:r>
          </w:p>
        </w:tc>
        <w:tc>
          <w:tcPr>
            <w:tcW w:type="dxa" w:w="2560"/>
            <w:tcBorders>
              <w:top w:val="single" w:color="BDC3C7" w:sz="1"/>
              <w:left w:val="single" w:color="BDC3C7" w:sz="1"/>
              <w:bottom w:val="single" w:color="BDC3C7" w:sz="1"/>
              <w:right w:val="single" w:color="BDC3C7" w:sz="1"/>
            </w:tcBorders>
            <w:shd w:fill="EDF2F7" w:val="clear"/>
            <w:tcMar>
              <w:top w:type="dxa" w:w="80"/>
              <w:left w:type="dxa" w:w="120"/>
              <w:bottom w:type="dxa" w:w="80"/>
              <w:right w:type="dxa" w:w="120"/>
            </w:tcMar>
          </w:tcPr>
          <w:p>
            <w:r>
              <w:rPr>
                <w:rFonts w:ascii="Arial" w:cs="Arial" w:eastAsia="Arial" w:hAnsi="Arial"/>
                <w:b w:val="false"/>
                <w:bCs w:val="false"/>
                <w:color w:val="2C3E50"/>
                <w:sz w:val="18"/>
                <w:szCs w:val="18"/>
              </w:rPr>
              <w:t xml:space="preserve">Awaiting client email</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18"/>
                <w:szCs w:val="18"/>
              </w:rPr>
              <w:t xml:space="preserve">About Us (parent)</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18"/>
                <w:szCs w:val="18"/>
              </w:rPr>
              <w:t xml:space="preserve">Not provided</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18"/>
                <w:szCs w:val="18"/>
              </w:rPr>
              <w:t xml:space="preserve">—</w:t>
            </w:r>
          </w:p>
        </w:tc>
        <w:tc>
          <w:tcPr>
            <w:tcW w:type="dxa" w:w="2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18"/>
                <w:szCs w:val="18"/>
              </w:rPr>
              <w:t xml:space="preserve">Awaiting client email</w:t>
            </w:r>
          </w:p>
        </w:tc>
      </w:tr>
      <w:tr>
        <w:tc>
          <w:tcPr>
            <w:tcW w:type="dxa" w:w="2800"/>
            <w:tcBorders>
              <w:top w:val="single" w:color="BDC3C7" w:sz="1"/>
              <w:left w:val="single" w:color="BDC3C7" w:sz="1"/>
              <w:bottom w:val="single" w:color="BDC3C7" w:sz="1"/>
              <w:right w:val="single" w:color="BDC3C7" w:sz="1"/>
            </w:tcBorders>
            <w:shd w:fill="EDF2F7" w:val="clear"/>
            <w:tcMar>
              <w:top w:type="dxa" w:w="80"/>
              <w:left w:type="dxa" w:w="120"/>
              <w:bottom w:type="dxa" w:w="80"/>
              <w:right w:type="dxa" w:w="120"/>
            </w:tcMar>
          </w:tcPr>
          <w:p>
            <w:r>
              <w:rPr>
                <w:rFonts w:ascii="Arial" w:cs="Arial" w:eastAsia="Arial" w:hAnsi="Arial"/>
                <w:b/>
                <w:bCs/>
                <w:color w:val="2C3E50"/>
                <w:sz w:val="18"/>
                <w:szCs w:val="18"/>
              </w:rPr>
              <w:t xml:space="preserve">Contact / FAQ</w:t>
            </w:r>
          </w:p>
        </w:tc>
        <w:tc>
          <w:tcPr>
            <w:tcW w:type="dxa" w:w="1600"/>
            <w:tcBorders>
              <w:top w:val="single" w:color="BDC3C7" w:sz="1"/>
              <w:left w:val="single" w:color="BDC3C7" w:sz="1"/>
              <w:bottom w:val="single" w:color="BDC3C7" w:sz="1"/>
              <w:right w:val="single" w:color="BDC3C7" w:sz="1"/>
            </w:tcBorders>
            <w:shd w:fill="EDF2F7" w:val="clear"/>
            <w:tcMar>
              <w:top w:type="dxa" w:w="80"/>
              <w:left w:type="dxa" w:w="120"/>
              <w:bottom w:type="dxa" w:w="80"/>
              <w:right w:type="dxa" w:w="120"/>
            </w:tcMar>
          </w:tcPr>
          <w:p>
            <w:r>
              <w:rPr>
                <w:rFonts w:ascii="Arial" w:cs="Arial" w:eastAsia="Arial" w:hAnsi="Arial"/>
                <w:b w:val="false"/>
                <w:bCs w:val="false"/>
                <w:color w:val="2C3E50"/>
                <w:sz w:val="18"/>
                <w:szCs w:val="18"/>
              </w:rPr>
              <w:t xml:space="preserve">Not provided</w:t>
            </w:r>
          </w:p>
        </w:tc>
        <w:tc>
          <w:tcPr>
            <w:tcW w:type="dxa" w:w="2400"/>
            <w:tcBorders>
              <w:top w:val="single" w:color="BDC3C7" w:sz="1"/>
              <w:left w:val="single" w:color="BDC3C7" w:sz="1"/>
              <w:bottom w:val="single" w:color="BDC3C7" w:sz="1"/>
              <w:right w:val="single" w:color="BDC3C7" w:sz="1"/>
            </w:tcBorders>
            <w:shd w:fill="EDF2F7" w:val="clear"/>
            <w:tcMar>
              <w:top w:type="dxa" w:w="80"/>
              <w:left w:type="dxa" w:w="120"/>
              <w:bottom w:type="dxa" w:w="80"/>
              <w:right w:type="dxa" w:w="120"/>
            </w:tcMar>
          </w:tcPr>
          <w:p>
            <w:r>
              <w:rPr>
                <w:rFonts w:ascii="Arial" w:cs="Arial" w:eastAsia="Arial" w:hAnsi="Arial"/>
                <w:b w:val="false"/>
                <w:bCs w:val="false"/>
                <w:color w:val="2C3E50"/>
                <w:sz w:val="18"/>
                <w:szCs w:val="18"/>
              </w:rPr>
              <w:t xml:space="preserve">—</w:t>
            </w:r>
          </w:p>
        </w:tc>
        <w:tc>
          <w:tcPr>
            <w:tcW w:type="dxa" w:w="2560"/>
            <w:tcBorders>
              <w:top w:val="single" w:color="BDC3C7" w:sz="1"/>
              <w:left w:val="single" w:color="BDC3C7" w:sz="1"/>
              <w:bottom w:val="single" w:color="BDC3C7" w:sz="1"/>
              <w:right w:val="single" w:color="BDC3C7" w:sz="1"/>
            </w:tcBorders>
            <w:shd w:fill="EDF2F7" w:val="clear"/>
            <w:tcMar>
              <w:top w:type="dxa" w:w="80"/>
              <w:left w:type="dxa" w:w="120"/>
              <w:bottom w:type="dxa" w:w="80"/>
              <w:right w:type="dxa" w:w="120"/>
            </w:tcMar>
          </w:tcPr>
          <w:p>
            <w:r>
              <w:rPr>
                <w:rFonts w:ascii="Arial" w:cs="Arial" w:eastAsia="Arial" w:hAnsi="Arial"/>
                <w:b w:val="false"/>
                <w:bCs w:val="false"/>
                <w:color w:val="2C3E50"/>
                <w:sz w:val="18"/>
                <w:szCs w:val="18"/>
              </w:rPr>
              <w:t xml:space="preserve">Awaiting client email</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18"/>
                <w:szCs w:val="18"/>
              </w:rPr>
              <w:t xml:space="preserve">Customer Portal</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18"/>
                <w:szCs w:val="18"/>
              </w:rPr>
              <w:t xml:space="preserve">Concept only</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18"/>
                <w:szCs w:val="18"/>
              </w:rPr>
              <w:t xml:space="preserve">—</w:t>
            </w:r>
          </w:p>
        </w:tc>
        <w:tc>
          <w:tcPr>
            <w:tcW w:type="dxa" w:w="2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18"/>
                <w:szCs w:val="18"/>
              </w:rPr>
              <w:t xml:space="preserve">Need Centerpoint tech specs</w:t>
            </w:r>
          </w:p>
        </w:tc>
      </w:tr>
    </w:tbl>
    <w:p>
      <w:pPr>
        <w:spacing w:before="200"/>
      </w:pPr>
    </w:p>
    <w:p>
      <w:pPr>
        <w:pStyle w:val="Heading1"/>
      </w:pPr>
      <w:r>
        <w:t xml:space="preserve">5. Strategic Gaps — What the Client Didn’t Ask For (But Needs)</w:t>
      </w:r>
    </w:p>
    <w:p>
      <w:pPr>
        <w:spacing w:after="120"/>
      </w:pPr>
      <w:r>
        <w:rPr>
          <w:rFonts w:ascii="Arial" w:cs="Arial" w:eastAsia="Arial" w:hAnsi="Arial"/>
          <w:color w:val="2C3E50"/>
          <w:sz w:val="22"/>
          <w:szCs w:val="22"/>
        </w:rPr>
        <w:t xml:space="preserve">The following are not present in the client’s emails but are required to meet our engagement mandate of 20–30% growth attributable to the website over five years.</w:t>
      </w:r>
    </w:p>
    <w:p>
      <w:pPr>
        <w:pStyle w:val="Heading2"/>
      </w:pPr>
      <w:r>
        <w:t xml:space="preserve">5.1 Residential Homepage Presence</w:t>
      </w:r>
    </w:p>
    <w:p>
      <w:pPr>
        <w:spacing w:after="120"/>
      </w:pPr>
      <w:r>
        <w:rPr>
          <w:rFonts w:ascii="Arial" w:cs="Arial" w:eastAsia="Arial" w:hAnsi="Arial"/>
          <w:color w:val="2C3E50"/>
          <w:sz w:val="22"/>
          <w:szCs w:val="22"/>
        </w:rPr>
        <w:t xml:space="preserve">The homepage spec is 100% commercial. Residential homeowners — who represent 20% of revenue — have no entry point, no proof system, and no CTA on the homepage as specified. This is a conversion-killing omission. The homepage must route both audiences within the first viewport.</w:t>
      </w:r>
    </w:p>
    <w:p>
      <w:pPr>
        <w:pStyle w:val="Heading2"/>
      </w:pPr>
      <w:r>
        <w:t xml:space="preserve">5.2 SEO Content Infrastructure</w:t>
      </w:r>
    </w:p>
    <w:p>
      <w:pPr>
        <w:spacing w:after="120"/>
      </w:pPr>
      <w:r>
        <w:rPr>
          <w:rFonts w:ascii="Arial" w:cs="Arial" w:eastAsia="Arial" w:hAnsi="Arial"/>
          <w:color w:val="2C3E50"/>
          <w:sz w:val="22"/>
          <w:szCs w:val="22"/>
        </w:rPr>
        <w:t xml:space="preserve">The proposed IA has no blog, no resources section, no case studies page, and no portfolio/gallery page. These are the compounding organic assets that will drive the five-year growth target. Without them, the site is a brochure that depends entirely on paid traffic and direct referrals.</w:t>
      </w:r>
    </w:p>
    <w:p>
      <w:pPr>
        <w:spacing w:after="120"/>
      </w:pPr>
      <w:r>
        <w:rPr>
          <w:rFonts w:ascii="Arial" w:cs="Arial" w:eastAsia="Arial" w:hAnsi="Arial"/>
          <w:b/>
          <w:bCs/>
          <w:color w:val="2C3E50"/>
          <w:sz w:val="22"/>
          <w:szCs w:val="22"/>
        </w:rPr>
        <w:t xml:space="preserve">Recommended additions: </w:t>
      </w:r>
      <w:r>
        <w:rPr>
          <w:rFonts w:ascii="Arial" w:cs="Arial" w:eastAsia="Arial" w:hAnsi="Arial"/>
          <w:color w:val="2C3E50"/>
          <w:sz w:val="22"/>
          <w:szCs w:val="22"/>
        </w:rPr>
        <w:t xml:space="preserve">Resources/Insights (blog), Case Studies/Portfolio (with filterable gallery), and a Careers page (signals institutional scale to commercial prospects and supports recruiting).</w:t>
      </w:r>
    </w:p>
    <w:p>
      <w:pPr>
        <w:pStyle w:val="Heading2"/>
      </w:pPr>
      <w:r>
        <w:t xml:space="preserve">5.3 Individual Location Pages</w:t>
      </w:r>
    </w:p>
    <w:p>
      <w:pPr>
        <w:spacing w:after="120"/>
      </w:pPr>
      <w:r>
        <w:rPr>
          <w:rFonts w:ascii="Arial" w:cs="Arial" w:eastAsia="Arial" w:hAnsi="Arial"/>
          <w:color w:val="2C3E50"/>
          <w:sz w:val="22"/>
          <w:szCs w:val="22"/>
        </w:rPr>
        <w:t xml:space="preserve">The client specified a “Locations We Serve” page with an interactive map, but each office location needs its own landing page optimized for local search. “Commercial roofing Richardson TX” is a high-intent keyword cluster. A map with pins that link to individual pages with local schema markup, local case studies, and local team photos is how we dominate geo-specific organic search.</w:t>
      </w:r>
    </w:p>
    <w:p>
      <w:pPr>
        <w:pStyle w:val="Heading2"/>
      </w:pPr>
      <w:r>
        <w:t xml:space="preserve">5.4 FAQ as Structured Data</w:t>
      </w:r>
    </w:p>
    <w:p>
      <w:pPr>
        <w:spacing w:after="120"/>
      </w:pPr>
      <w:r>
        <w:rPr>
          <w:rFonts w:ascii="Arial" w:cs="Arial" w:eastAsia="Arial" w:hAnsi="Arial"/>
          <w:color w:val="2C3E50"/>
          <w:sz w:val="22"/>
          <w:szCs w:val="22"/>
        </w:rPr>
        <w:t xml:space="preserve">The client mentioned FAQ under Contact Us. FAQ content is one of the highest-ROI SEO plays available — when marked up with FAQ schema, it earns rich snippets in Google results. Burying it as a subsection of Contact Us wastes this opportunity. We should recommend FAQ content integrated into relevant service pages with schema markup, plus a standalone FAQ page.</w:t>
      </w:r>
    </w:p>
    <w:p>
      <w:pPr>
        <w:pStyle w:val="Heading2"/>
      </w:pPr>
      <w:r>
        <w:t xml:space="preserve">5.5 Conversion Path Architecture</w:t>
      </w:r>
    </w:p>
    <w:p>
      <w:pPr>
        <w:spacing w:after="120"/>
      </w:pPr>
      <w:r>
        <w:rPr>
          <w:rFonts w:ascii="Arial" w:cs="Arial" w:eastAsia="Arial" w:hAnsi="Arial"/>
          <w:color w:val="2C3E50"/>
          <w:sz w:val="22"/>
          <w:szCs w:val="22"/>
        </w:rPr>
        <w:t xml:space="preserve">The client’s emails specify pages but not conversion paths. We need to design distinct funnels: commercial RFQ flow (multi-step, qualifying questions, progressive disclosure), residential urgent-leak flow (phone-first, fast), and residential planned-replacement flow (estimate request, educational). These don’t appear anywhere in the client’s spec and are the mechanism by which the site actually generates revenue.</w:t>
      </w:r>
    </w:p>
    <w:p>
      <w:r>
        <w:br w:type="page"/>
      </w:r>
    </w:p>
    <w:p>
      <w:pPr>
        <w:pStyle w:val="Heading1"/>
      </w:pPr>
      <w:r>
        <w:t xml:space="preserve">6. Reference Websites — Action Required</w:t>
      </w:r>
    </w:p>
    <w:p>
      <w:pPr>
        <w:spacing w:after="120"/>
      </w:pPr>
      <w:r>
        <w:rPr>
          <w:rFonts w:ascii="Arial" w:cs="Arial" w:eastAsia="Arial" w:hAnsi="Arial"/>
          <w:color w:val="2C3E50"/>
          <w:sz w:val="22"/>
          <w:szCs w:val="22"/>
        </w:rPr>
        <w:t xml:space="preserve">The client mentioned two reference websites for structural and layout inspiration. One is confirmed as Supreme Roofing. The URLs were not included in the forwarded emails.</w:t>
      </w:r>
    </w:p>
    <w:p>
      <w:pPr>
        <w:spacing w:after="120"/>
      </w:pPr>
      <w:r>
        <w:rPr>
          <w:rFonts w:ascii="Arial" w:cs="Arial" w:eastAsia="Arial" w:hAnsi="Arial"/>
          <w:b/>
          <w:bCs/>
          <w:color w:val="C0392B"/>
          <w:sz w:val="22"/>
          <w:szCs w:val="22"/>
        </w:rPr>
        <w:t xml:space="preserve">ACTION FOR CHRIS: </w:t>
      </w:r>
      <w:r>
        <w:rPr>
          <w:rFonts w:ascii="Arial" w:cs="Arial" w:eastAsia="Arial" w:hAnsi="Arial"/>
          <w:color w:val="2C3E50"/>
          <w:sz w:val="22"/>
          <w:szCs w:val="22"/>
        </w:rPr>
        <w:t xml:space="preserve">Pull the actual URLs from the original client emails and share them. I need to conduct a structural teardown of both sites to identify what the client is responding to — layout patterns, scroll behavior, section hierarchy, navigation UX — and map those patterns to our conversion mandate. I can also audit the Supreme Roofing customer portal to understand what CenterPoint integration looks like in practice.</w:t>
      </w:r>
    </w:p>
    <w:p>
      <w:pPr>
        <w:pStyle w:val="Heading1"/>
      </w:pPr>
      <w:r>
        <w:t xml:space="preserve">7. Customer Portal — Centerpoint Integration</w:t>
      </w:r>
    </w:p>
    <w:p>
      <w:pPr>
        <w:spacing w:after="120"/>
      </w:pPr>
      <w:r>
        <w:rPr>
          <w:rFonts w:ascii="Arial" w:cs="Arial" w:eastAsia="Arial" w:hAnsi="Arial"/>
          <w:color w:val="2C3E50"/>
          <w:sz w:val="22"/>
          <w:szCs w:val="22"/>
        </w:rPr>
        <w:t xml:space="preserve">The client wants service division customers to log into their Centerpoint portal directly from the Pro Exteriors website. This is a smart retention and credibility play.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DC3C7" w:sz="1"/>
              <w:left w:val="single" w:color="BDC3C7" w:sz="1"/>
              <w:bottom w:val="single" w:color="BDC3C7" w:sz="1"/>
              <w:right w:val="single" w:color="BDC3C7" w:sz="1"/>
            </w:tcBorders>
            <w:shd w:fill="EDF2F7" w:val="clear"/>
            <w:tcMar>
              <w:top w:type="dxa" w:w="80"/>
              <w:left w:type="dxa" w:w="120"/>
              <w:bottom w:type="dxa" w:w="80"/>
              <w:right w:type="dxa" w:w="120"/>
            </w:tcMar>
          </w:tcPr>
          <w:p>
            <w:r>
              <w:rPr>
                <w:rFonts w:ascii="Arial" w:cs="Arial" w:eastAsia="Arial" w:hAnsi="Arial"/>
                <w:b/>
                <w:bCs/>
                <w:color w:val="1B2A4A"/>
                <w:sz w:val="20"/>
                <w:szCs w:val="20"/>
              </w:rPr>
              <w:t xml:space="preserve">Integration Type</w:t>
            </w:r>
          </w:p>
        </w:tc>
        <w:tc>
          <w:tcPr>
            <w:tcW w:type="dxa" w:w="6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Likely SSO redirect or iframe embed — TBD pending Centerpoint API docs</w:t>
            </w:r>
          </w:p>
        </w:tc>
      </w:tr>
      <w:tr>
        <w:tc>
          <w:tcPr>
            <w:tcW w:type="dxa" w:w="2400"/>
            <w:tcBorders>
              <w:top w:val="single" w:color="BDC3C7" w:sz="1"/>
              <w:left w:val="single" w:color="BDC3C7" w:sz="1"/>
              <w:bottom w:val="single" w:color="BDC3C7" w:sz="1"/>
              <w:right w:val="single" w:color="BDC3C7" w:sz="1"/>
            </w:tcBorders>
            <w:shd w:fill="EDF2F7" w:val="clear"/>
            <w:tcMar>
              <w:top w:type="dxa" w:w="80"/>
              <w:left w:type="dxa" w:w="120"/>
              <w:bottom w:type="dxa" w:w="80"/>
              <w:right w:type="dxa" w:w="120"/>
            </w:tcMar>
          </w:tcPr>
          <w:p>
            <w:r>
              <w:rPr>
                <w:rFonts w:ascii="Arial" w:cs="Arial" w:eastAsia="Arial" w:hAnsi="Arial"/>
                <w:b/>
                <w:bCs/>
                <w:color w:val="1B2A4A"/>
                <w:sz w:val="20"/>
                <w:szCs w:val="20"/>
              </w:rPr>
              <w:t xml:space="preserve">UX Placement</w:t>
            </w:r>
          </w:p>
        </w:tc>
        <w:tc>
          <w:tcPr>
            <w:tcW w:type="dxa" w:w="6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Dedicated nav item (confirmed) + header utility link</w:t>
            </w:r>
          </w:p>
        </w:tc>
      </w:tr>
      <w:tr>
        <w:tc>
          <w:tcPr>
            <w:tcW w:type="dxa" w:w="2400"/>
            <w:tcBorders>
              <w:top w:val="single" w:color="BDC3C7" w:sz="1"/>
              <w:left w:val="single" w:color="BDC3C7" w:sz="1"/>
              <w:bottom w:val="single" w:color="BDC3C7" w:sz="1"/>
              <w:right w:val="single" w:color="BDC3C7" w:sz="1"/>
            </w:tcBorders>
            <w:shd w:fill="EDF2F7" w:val="clear"/>
            <w:tcMar>
              <w:top w:type="dxa" w:w="80"/>
              <w:left w:type="dxa" w:w="120"/>
              <w:bottom w:type="dxa" w:w="80"/>
              <w:right w:type="dxa" w:w="120"/>
            </w:tcMar>
          </w:tcPr>
          <w:p>
            <w:r>
              <w:rPr>
                <w:rFonts w:ascii="Arial" w:cs="Arial" w:eastAsia="Arial" w:hAnsi="Arial"/>
                <w:b/>
                <w:bCs/>
                <w:color w:val="1B2A4A"/>
                <w:sz w:val="20"/>
                <w:szCs w:val="20"/>
              </w:rPr>
              <w:t xml:space="preserve">Strategic Value</w:t>
            </w:r>
          </w:p>
        </w:tc>
        <w:tc>
          <w:tcPr>
            <w:tcW w:type="dxa" w:w="6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Repeat visits, perceived professionalism, client stickiness</w:t>
            </w:r>
          </w:p>
        </w:tc>
      </w:tr>
      <w:tr>
        <w:tc>
          <w:tcPr>
            <w:tcW w:type="dxa" w:w="2400"/>
            <w:tcBorders>
              <w:top w:val="single" w:color="BDC3C7" w:sz="1"/>
              <w:left w:val="single" w:color="BDC3C7" w:sz="1"/>
              <w:bottom w:val="single" w:color="BDC3C7" w:sz="1"/>
              <w:right w:val="single" w:color="BDC3C7" w:sz="1"/>
            </w:tcBorders>
            <w:shd w:fill="EDF2F7" w:val="clear"/>
            <w:tcMar>
              <w:top w:type="dxa" w:w="80"/>
              <w:left w:type="dxa" w:w="120"/>
              <w:bottom w:type="dxa" w:w="80"/>
              <w:right w:type="dxa" w:w="120"/>
            </w:tcMar>
          </w:tcPr>
          <w:p>
            <w:r>
              <w:rPr>
                <w:rFonts w:ascii="Arial" w:cs="Arial" w:eastAsia="Arial" w:hAnsi="Arial"/>
                <w:b/>
                <w:bCs/>
                <w:color w:val="1B2A4A"/>
                <w:sz w:val="20"/>
                <w:szCs w:val="20"/>
              </w:rPr>
              <w:t xml:space="preserve">Open Questions</w:t>
            </w:r>
          </w:p>
        </w:tc>
        <w:tc>
          <w:tcPr>
            <w:tcW w:type="dxa" w:w="6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Does Centerpoint offer an API? OAuth? Embed? White-label login page?</w:t>
            </w:r>
          </w:p>
        </w:tc>
      </w:tr>
    </w:tbl>
    <w:p>
      <w:pPr>
        <w:spacing w:before="120"/>
      </w:pPr>
    </w:p>
    <w:p>
      <w:pPr>
        <w:spacing w:after="120"/>
      </w:pPr>
      <w:r>
        <w:rPr>
          <w:rFonts w:ascii="Arial" w:cs="Arial" w:eastAsia="Arial" w:hAnsi="Arial"/>
          <w:b/>
          <w:bCs/>
          <w:color w:val="C0392B"/>
          <w:sz w:val="22"/>
          <w:szCs w:val="22"/>
        </w:rPr>
        <w:t xml:space="preserve">ACTION FOR CHRIS: </w:t>
      </w:r>
      <w:r>
        <w:rPr>
          <w:rFonts w:ascii="Arial" w:cs="Arial" w:eastAsia="Arial" w:hAnsi="Arial"/>
          <w:color w:val="2C3E50"/>
          <w:sz w:val="22"/>
          <w:szCs w:val="22"/>
        </w:rPr>
        <w:t xml:space="preserve">We need to know what platform Centerpoint is (full product name, URL), whether it offers any integration documentation, and whether Supreme Roofing’s portal — which the client referenced — uses the same system. This determines whether we’re building a simple redirect, an embedded experience, or a custom integration.</w:t>
      </w:r>
    </w:p>
    <w:p>
      <w:r>
        <w:br w:type="page"/>
      </w:r>
    </w:p>
    <w:p>
      <w:pPr>
        <w:pStyle w:val="Heading1"/>
      </w:pPr>
      <w:r>
        <w:t xml:space="preserve">8. Recommended Next Steps</w:t>
      </w:r>
    </w:p>
    <w:p>
      <w:pPr>
        <w:spacing w:after="120"/>
      </w:pPr>
      <w:r>
        <w:rPr>
          <w:rFonts w:ascii="Arial" w:cs="Arial" w:eastAsia="Arial" w:hAnsi="Arial"/>
          <w:color w:val="2C3E50"/>
          <w:sz w:val="22"/>
          <w:szCs w:val="22"/>
        </w:rPr>
        <w:t xml:space="preserve">Here’s what I recommend we do, in order, to respond to the client and move this forward.</w:t>
      </w:r>
    </w:p>
    <w:p>
      <w:pPr>
        <w:pStyle w:val="ListParagraph"/>
        <w:numPr>
          <w:ilvl w:val="0"/>
          <w:numId w:val="2"/>
        </w:numPr>
        <w:spacing w:after="100"/>
      </w:pPr>
      <w:r>
        <w:rPr>
          <w:rFonts w:ascii="Arial" w:cs="Arial" w:eastAsia="Arial" w:hAnsi="Arial"/>
          <w:color w:val="2C3E50"/>
          <w:sz w:val="22"/>
          <w:szCs w:val="22"/>
        </w:rPr>
        <w:t xml:space="preserve">Get the reference website URLs from the client’s original emails. I can’t do the structural analysis without them.</w:t>
      </w:r>
    </w:p>
    <w:p>
      <w:pPr>
        <w:pStyle w:val="ListParagraph"/>
        <w:numPr>
          <w:ilvl w:val="0"/>
          <w:numId w:val="2"/>
        </w:numPr>
        <w:spacing w:after="100"/>
      </w:pPr>
      <w:r>
        <w:rPr>
          <w:rFonts w:ascii="Arial" w:cs="Arial" w:eastAsia="Arial" w:hAnsi="Arial"/>
          <w:color w:val="2C3E50"/>
          <w:sz w:val="22"/>
          <w:szCs w:val="22"/>
        </w:rPr>
        <w:t xml:space="preserve">Get the Centerpoint platform details — product name, URL, any integration docs.</w:t>
      </w:r>
    </w:p>
    <w:p>
      <w:pPr>
        <w:pStyle w:val="ListParagraph"/>
        <w:numPr>
          <w:ilvl w:val="0"/>
          <w:numId w:val="2"/>
        </w:numPr>
        <w:spacing w:after="100"/>
      </w:pPr>
      <w:r>
        <w:rPr>
          <w:rFonts w:ascii="Arial" w:cs="Arial" w:eastAsia="Arial" w:hAnsi="Arial"/>
          <w:color w:val="2C3E50"/>
          <w:sz w:val="22"/>
          <w:szCs w:val="22"/>
        </w:rPr>
        <w:t xml:space="preserve">I’ll conduct structural teardowns of both reference sites and map the patterns the client is drawn to.</w:t>
      </w:r>
    </w:p>
    <w:p>
      <w:pPr>
        <w:pStyle w:val="ListParagraph"/>
        <w:numPr>
          <w:ilvl w:val="0"/>
          <w:numId w:val="2"/>
        </w:numPr>
        <w:spacing w:after="100"/>
      </w:pPr>
      <w:r>
        <w:rPr>
          <w:rFonts w:ascii="Arial" w:cs="Arial" w:eastAsia="Arial" w:hAnsi="Arial"/>
          <w:color w:val="2C3E50"/>
          <w:sz w:val="22"/>
          <w:szCs w:val="22"/>
        </w:rPr>
        <w:t xml:space="preserve">I’ll produce a revised IA that incorporates the client’s confirmed structure PLUS our strategic additions (blog, case studies, location pages, careers).</w:t>
      </w:r>
    </w:p>
    <w:p>
      <w:pPr>
        <w:pStyle w:val="ListParagraph"/>
        <w:numPr>
          <w:ilvl w:val="0"/>
          <w:numId w:val="2"/>
        </w:numPr>
        <w:spacing w:after="100"/>
      </w:pPr>
      <w:r>
        <w:rPr>
          <w:rFonts w:ascii="Arial" w:cs="Arial" w:eastAsia="Arial" w:hAnsi="Arial"/>
          <w:color w:val="2C3E50"/>
          <w:sz w:val="22"/>
          <w:szCs w:val="22"/>
        </w:rPr>
        <w:t xml:space="preserve">I’ll draft the homepage wireframe with the content block relocated to the services page and a proper two-audience routing section in its place.</w:t>
      </w:r>
    </w:p>
    <w:p>
      <w:pPr>
        <w:pStyle w:val="ListParagraph"/>
        <w:numPr>
          <w:ilvl w:val="0"/>
          <w:numId w:val="2"/>
        </w:numPr>
        <w:spacing w:after="100"/>
      </w:pPr>
      <w:r>
        <w:rPr>
          <w:rFonts w:ascii="Arial" w:cs="Arial" w:eastAsia="Arial" w:hAnsi="Arial"/>
          <w:color w:val="2C3E50"/>
          <w:sz w:val="22"/>
          <w:szCs w:val="22"/>
        </w:rPr>
        <w:t xml:space="preserve">Move the commercial/multifamily content into the service page template — it’s ready for design once we have the page framework.</w:t>
      </w:r>
    </w:p>
    <w:p>
      <w:pPr>
        <w:pStyle w:val="ListParagraph"/>
        <w:numPr>
          <w:ilvl w:val="0"/>
          <w:numId w:val="2"/>
        </w:numPr>
        <w:spacing w:after="100"/>
      </w:pPr>
      <w:r>
        <w:rPr>
          <w:rFonts w:ascii="Arial" w:cs="Arial" w:eastAsia="Arial" w:hAnsi="Arial"/>
          <w:color w:val="2C3E50"/>
          <w:sz w:val="22"/>
          <w:szCs w:val="22"/>
        </w:rPr>
        <w:t xml:space="preserve">Draft a client response that acknowledges their excellent direction, explains (diplomatically) why the homepage content block should live on the service page, and previews the SEO infrastructure additions that will exceed their expectations.</w:t>
      </w:r>
    </w:p>
    <w:p>
      <w:pPr>
        <w:spacing w:before="300"/>
      </w:pPr>
    </w:p>
    <w:p>
      <w:pPr>
        <w:pStyle w:val="Heading1"/>
      </w:pPr>
      <w:r>
        <w:t xml:space="preserve">9. The “Beyond Expectations” Play</w:t>
      </w:r>
    </w:p>
    <w:p>
      <w:pPr>
        <w:spacing w:after="120"/>
      </w:pPr>
      <w:r>
        <w:rPr>
          <w:rFonts w:ascii="Arial" w:cs="Arial" w:eastAsia="Arial" w:hAnsi="Arial"/>
          <w:color w:val="2C3E50"/>
          <w:sz w:val="22"/>
          <w:szCs w:val="22"/>
        </w:rPr>
        <w:t xml:space="preserve">The client asked for a website. Here’s how we deliver a growth engine.</w:t>
      </w:r>
    </w:p>
    <w:p>
      <w:pPr>
        <w:pStyle w:val="ListParagraph"/>
        <w:numPr>
          <w:ilvl w:val="0"/>
          <w:numId w:val="3"/>
        </w:numPr>
        <w:spacing w:after="100"/>
      </w:pPr>
      <w:r>
        <w:rPr>
          <w:rFonts w:ascii="Arial" w:cs="Arial" w:eastAsia="Arial" w:hAnsi="Arial"/>
          <w:color w:val="2C3E50"/>
          <w:sz w:val="22"/>
          <w:szCs w:val="22"/>
        </w:rPr>
        <w:t xml:space="preserve">Interactive SVG map with location pages and local schema markup — they asked for a map graphic, we deliver a geographic SEO moat.</w:t>
      </w:r>
    </w:p>
    <w:p>
      <w:pPr>
        <w:pStyle w:val="ListParagraph"/>
        <w:numPr>
          <w:ilvl w:val="0"/>
          <w:numId w:val="3"/>
        </w:numPr>
        <w:spacing w:after="100"/>
      </w:pPr>
      <w:r>
        <w:rPr>
          <w:rFonts w:ascii="Arial" w:cs="Arial" w:eastAsia="Arial" w:hAnsi="Arial"/>
          <w:color w:val="2C3E50"/>
          <w:sz w:val="22"/>
          <w:szCs w:val="22"/>
        </w:rPr>
        <w:t xml:space="preserve">Live Google review integration with aggregate rating schema — they asked for testimonials, we deliver rich snippets in search results.</w:t>
      </w:r>
    </w:p>
    <w:p>
      <w:pPr>
        <w:pStyle w:val="ListParagraph"/>
        <w:numPr>
          <w:ilvl w:val="0"/>
          <w:numId w:val="3"/>
        </w:numPr>
        <w:spacing w:after="100"/>
      </w:pPr>
      <w:r>
        <w:rPr>
          <w:rFonts w:ascii="Arial" w:cs="Arial" w:eastAsia="Arial" w:hAnsi="Arial"/>
          <w:color w:val="2C3E50"/>
          <w:sz w:val="22"/>
          <w:szCs w:val="22"/>
        </w:rPr>
        <w:t xml:space="preserve">Blog/resources infrastructure with editorial calendar — they didn’t ask for this, but it’s the organic volume engine that makes the five-year growth target possible.</w:t>
      </w:r>
    </w:p>
    <w:p>
      <w:pPr>
        <w:pStyle w:val="ListParagraph"/>
        <w:numPr>
          <w:ilvl w:val="0"/>
          <w:numId w:val="3"/>
        </w:numPr>
        <w:spacing w:after="100"/>
      </w:pPr>
      <w:r>
        <w:rPr>
          <w:rFonts w:ascii="Arial" w:cs="Arial" w:eastAsia="Arial" w:hAnsi="Arial"/>
          <w:color w:val="2C3E50"/>
          <w:sz w:val="22"/>
          <w:szCs w:val="22"/>
        </w:rPr>
        <w:t xml:space="preserve">Case studies with filterable gallery — procurement officers research before they call. Case studies are the conversion mechanism for commercial.</w:t>
      </w:r>
    </w:p>
    <w:p>
      <w:pPr>
        <w:pStyle w:val="ListParagraph"/>
        <w:numPr>
          <w:ilvl w:val="0"/>
          <w:numId w:val="3"/>
        </w:numPr>
        <w:spacing w:after="100"/>
      </w:pPr>
      <w:r>
        <w:rPr>
          <w:rFonts w:ascii="Arial" w:cs="Arial" w:eastAsia="Arial" w:hAnsi="Arial"/>
          <w:color w:val="2C3E50"/>
          <w:sz w:val="22"/>
          <w:szCs w:val="22"/>
        </w:rPr>
        <w:t xml:space="preserve">Conversion path design for three distinct funnels — commercial RFQ, residential urgent, residential planned. The client didn’t know to ask for this. It’s the difference between a site that exists and a site that sells.</w:t>
      </w:r>
    </w:p>
    <w:p>
      <w:pPr>
        <w:pStyle w:val="ListParagraph"/>
        <w:numPr>
          <w:ilvl w:val="0"/>
          <w:numId w:val="3"/>
        </w:numPr>
        <w:spacing w:after="100"/>
      </w:pPr>
      <w:r>
        <w:rPr>
          <w:rFonts w:ascii="Arial" w:cs="Arial" w:eastAsia="Arial" w:hAnsi="Arial"/>
          <w:color w:val="2C3E50"/>
          <w:sz w:val="22"/>
          <w:szCs w:val="22"/>
        </w:rPr>
        <w:t xml:space="preserve">FAQ schema markup across service pages — they put FAQ under Contact Us. We distribute it where it earns rich snippets.</w:t>
      </w:r>
    </w:p>
    <w:p>
      <w:pPr>
        <w:pStyle w:val="ListParagraph"/>
        <w:numPr>
          <w:ilvl w:val="0"/>
          <w:numId w:val="3"/>
        </w:numPr>
        <w:spacing w:after="100"/>
      </w:pPr>
      <w:r>
        <w:rPr>
          <w:rFonts w:ascii="Arial" w:cs="Arial" w:eastAsia="Arial" w:hAnsi="Arial"/>
          <w:color w:val="2C3E50"/>
          <w:sz w:val="22"/>
          <w:szCs w:val="22"/>
        </w:rPr>
        <w:t xml:space="preserve">Manufacturer certification badges as trust signals — the client listed every certification in prose. We turn those into a visual proof bar that commercial prospects recognize instantly.</w:t>
      </w:r>
    </w:p>
    <w:p>
      <w:pPr>
        <w:pBdr>
          <w:top w:val="single" w:color="2E75B6" w:sz="2" w:space="8"/>
        </w:pBdr>
        <w:spacing w:before="400"/>
      </w:pPr>
    </w:p>
    <w:p>
      <w:pPr>
        <w:spacing w:after="120"/>
      </w:pPr>
      <w:r>
        <w:rPr>
          <w:rFonts w:ascii="Arial" w:cs="Arial" w:eastAsia="Arial" w:hAnsi="Arial"/>
          <w:b/>
          <w:bCs/>
          <w:color w:val="1B2A4A"/>
          <w:sz w:val="22"/>
          <w:szCs w:val="22"/>
        </w:rPr>
        <w:t xml:space="preserve">End of synthesis. </w:t>
      </w:r>
      <w:r>
        <w:rPr>
          <w:rFonts w:ascii="Arial" w:cs="Arial" w:eastAsia="Arial" w:hAnsi="Arial"/>
          <w:color w:val="2C3E50"/>
          <w:sz w:val="22"/>
          <w:szCs w:val="22"/>
        </w:rPr>
        <w:t xml:space="preserve">Awaiting reference website URLs and Centerpoint platform details to proceed with structural analysis and revised IA.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3C7" w:sz="1" w:space="4"/>
      </w:pBdr>
      <w:jc w:val="center"/>
    </w:pPr>
    <w:r>
      <w:rPr>
        <w:rFonts w:ascii="Arial" w:cs="Arial" w:eastAsia="Arial" w:hAnsi="Arial"/>
        <w:color w:val="BDC3C7"/>
        <w:sz w:val="16"/>
        <w:szCs w:val="16"/>
      </w:rPr>
      <w:t xml:space="preserve">INTERNAL  •  Page </w:t>
    </w:r>
    <w:r>
      <w:rPr>
        <w:rFonts w:ascii="Arial" w:cs="Arial" w:eastAsia="Arial" w:hAnsi="Arial"/>
        <w:color w:val="BDC3C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pPr>
    <w:r>
      <w:rPr>
        <w:rFonts w:ascii="Arial" w:cs="Arial" w:eastAsia="Arial" w:hAnsi="Arial"/>
        <w:color w:val="2E75B6"/>
        <w:sz w:val="16"/>
        <w:szCs w:val="16"/>
      </w:rPr>
      <w:t xml:space="preserve">AIA4 Pro Exteriors</w:t>
    </w:r>
    <w:r>
      <w:rPr>
        <w:rFonts w:ascii="Arial" w:cs="Arial" w:eastAsia="Arial" w:hAnsi="Arial"/>
        <w:color w:val="BDC3C7"/>
        <w:sz w:val="16"/>
        <w:szCs w:val="16"/>
      </w:rPr>
      <w:t xml:space="preserve">  |  Client Request Synthesis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1"/>
      </w:pBdr>
      <w:spacing w:after="200" w:before="360"/>
      <w:outlineLvl w:val="0"/>
    </w:pPr>
    <w:rPr>
      <w:rFonts w:ascii="Arial" w:cs="Arial" w:eastAsia="Arial" w:hAnsi="Arial"/>
      <w:b/>
      <w:bCs/>
      <w:color w:val="1B2A4A"/>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1B2A4A"/>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2026-04-12T06:30:48.275Z</dcterms:created>
  <dcterms:modified xsi:type="dcterms:W3CDTF">2026-04-12T06:30:48.276Z</dcterms:modified>
</cp:coreProperties>
</file>

<file path=docProps/custom.xml><?xml version="1.0" encoding="utf-8"?>
<Properties xmlns="http://schemas.openxmlformats.org/officeDocument/2006/custom-properties" xmlns:vt="http://schemas.openxmlformats.org/officeDocument/2006/docPropsVTypes"/>
</file>