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eastAsia="微软雅黑"/>
        </w:rPr>
        <w:t>HP-GNN 癫痫发作预测模型复现报告</w:t>
      </w:r>
    </w:p>
    <w:p>
      <w:pPr>
        <w:jc w:val="center"/>
      </w:pPr>
      <w:r>
        <w:rPr>
          <w:rFonts w:ascii="Calibri" w:hAnsi="Calibri" w:eastAsia="等线"/>
          <w:i/>
          <w:sz w:val="20"/>
        </w:rPr>
        <w:t>复现对象：Physics-informed graph neural networks for robust cross-patient epileptic</w:t>
        <w:br/>
        <w:t>seizure prediction via chimera state detection</w:t>
        <w:br/>
        <w:t>Masoud Amiri, Ershad Nedaei, Bahador Makkiabadi</w:t>
        <w:br/>
        <w:t>PLoS ONE 21(4): e0345470, 2026　DOI 10.1371/journal.pone.0345470　PMID: 41926489</w:t>
        <w:br/>
        <w:t>数据集：CHB-MIT Scalp EEG Database（本复现仅用 chb01）</w:t>
        <w:br/>
        <w:t>本报告日期：2026-09-14</w:t>
      </w:r>
    </w:p>
    <w:p>
      <w:pPr>
        <w:pStyle w:val="Heading1"/>
      </w:pPr>
      <w:r>
        <w:rPr>
          <w:rFonts w:ascii="Calibri" w:hAnsi="Calibri" w:eastAsia="微软雅黑"/>
          <w:color w:val="1F3564"/>
        </w:rPr>
        <w:t>摘要</w:t>
      </w:r>
    </w:p>
    <w:p>
      <w:r>
        <w:rPr>
          <w:rFonts w:ascii="Calibri" w:hAnsi="Calibri" w:eastAsia="等线"/>
          <w:b w:val="0"/>
          <w:i w:val="0"/>
        </w:rPr>
        <w:t>本工作复现了 Amiri 等（2026）提出的癫痫发作预测模型 HP-GNN。该模型的核心主张有两项：一是用超图卷积刻画多通道脑电的高阶耦合结构，二是用 Kuramoto 方程的物理残差约束相位演化（物理信息神经网络，PINN）。</w:t>
      </w:r>
    </w:p>
    <w:p>
      <w:r>
        <w:rPr>
          <w:rFonts w:ascii="Calibri" w:hAnsi="Calibri" w:eastAsia="等线"/>
          <w:b w:val="0"/>
          <w:i w:val="0"/>
        </w:rPr>
        <w:t>复现过程中发现，论文补充材料中的官方源码无法直接运行，且缺少关键的预处理模块。本工作自行补全了从原始 EDF 到超图输入的完整数据管线，修正了物理损失的实现，并在 CHB-MIT 数据集上完成了训练与评估。</w:t>
      </w:r>
    </w:p>
    <w:p>
      <w:r>
        <w:rPr>
          <w:rFonts w:ascii="Calibri" w:hAnsi="Calibri" w:eastAsia="等线"/>
          <w:b/>
          <w:i w:val="0"/>
        </w:rPr>
        <w:t>主要结论有四条：</w:t>
      </w:r>
    </w:p>
    <w:p>
      <w:pPr>
        <w:pStyle w:val="ListBullet"/>
        <w:ind w:left="360"/>
      </w:pPr>
      <w:r>
        <w:rPr>
          <w:rFonts w:ascii="Calibri" w:hAnsi="Calibri" w:eastAsia="等线"/>
        </w:rPr>
        <w:t>官方源码的物理损失项在实现上退化：导数项被写死为零，且与论文正文「用有限差分近似 dθ/dt」的表述直接冲突。实际效果是把耦合强度压向零。</w:t>
      </w:r>
    </w:p>
    <w:p>
      <w:pPr>
        <w:pStyle w:val="ListBullet"/>
        <w:ind w:left="360"/>
      </w:pPr>
      <w:r>
        <w:rPr>
          <w:rFonts w:ascii="Calibri" w:hAnsi="Calibri" w:eastAsia="等线"/>
        </w:rPr>
        <w:t>论文自报的物理损失效应量（+0.9%），小于其自身的折间标准差（±2.1%）。本复现的对照实验测得 +0.36%，与论文一致。因此结论不是「没能复现出该效果」，而是该量级本就落在噪声内。</w:t>
      </w:r>
    </w:p>
    <w:p>
      <w:pPr>
        <w:pStyle w:val="ListBullet"/>
        <w:ind w:left="360"/>
      </w:pPr>
      <w:r>
        <w:rPr>
          <w:rFonts w:ascii="Calibri" w:hAnsi="Calibri" w:eastAsia="等线"/>
        </w:rPr>
        <w:t>进一步的检验表明，问题不止于实现。观测到的 Hilbert 相位并不服从 Kuramoto 动力学：在 27087 个窗口的拟合中，耦合项对相位演化的方差解释率最高仅 1.55%，发作间期低至 0.00%。即便完全正确地实现，该损失项也不可能提供有效约束。</w:t>
      </w:r>
    </w:p>
    <w:p>
      <w:pPr>
        <w:pStyle w:val="ListBullet"/>
        <w:ind w:left="360"/>
      </w:pPr>
      <w:r>
        <w:rPr>
          <w:rFonts w:ascii="Calibri" w:hAnsi="Calibri" w:eastAsia="等线"/>
        </w:rPr>
        <w:t>事件级评估得到 100% 灵敏度，但这一结果是平凡的——模型在正常序列上的误报率为 7.5%，而单次发作的预测窗口包含数百条序列，命中接近必然。有意义的指标是误报率：本复现为 0.64 次/小时，论文报告为 0.48 次/小时。</w:t>
      </w:r>
    </w:p>
    <w:p>
      <w:pPr>
        <w:pStyle w:val="Heading1"/>
      </w:pPr>
      <w:r>
        <w:rPr>
          <w:rFonts w:ascii="Calibri" w:hAnsi="Calibri" w:eastAsia="微软雅黑"/>
          <w:color w:val="1F3564"/>
        </w:rPr>
        <w:t>一、复现目标与范围</w:t>
      </w:r>
    </w:p>
    <w:p>
      <w:r>
        <w:rPr>
          <w:rFonts w:ascii="Calibri" w:hAnsi="Calibri" w:eastAsia="等线"/>
          <w:b/>
          <w:i w:val="0"/>
        </w:rPr>
        <w:t>1.1 任务定义</w:t>
      </w:r>
    </w:p>
    <w:p>
      <w:r>
        <w:rPr>
          <w:rFonts w:ascii="Calibri" w:hAnsi="Calibri" w:eastAsia="等线"/>
          <w:b w:val="0"/>
          <w:i w:val="0"/>
        </w:rPr>
        <w:t>脑电癫痫发作预测的目标，是在发作发生前的一段预警期内给出报警，同时把正常时段的误报控制在可接受水平。按论文定义，发作前 30 分钟被标为发作前期（preictal），其余时段分为发作期、发作后 30 分钟、以及发作间期。</w:t>
      </w:r>
    </w:p>
    <w:p>
      <w:r>
        <w:rPr>
          <w:rFonts w:ascii="Calibri" w:hAnsi="Calibri" w:eastAsia="等线"/>
          <w:b/>
          <w:i w:val="0"/>
        </w:rPr>
        <w:t>1.2 本复现的范围</w:t>
      </w:r>
    </w:p>
    <w:p>
      <w:r>
        <w:rPr>
          <w:rFonts w:ascii="Calibri" w:hAnsi="Calibri" w:eastAsia="等线"/>
          <w:b w:val="0"/>
          <w:i w:val="0"/>
        </w:rPr>
        <w:t>论文使用了三个数据集：CHB-MIT（22 名儿科患者、182 次发作、844 小时）、IEEG.org（16 名成人、87 次发作、312 小时）与 SIENA（14 名成人、186 小时）。表 7 给出三者的事件级结果：准确率 84.7% / 79.2% / 82.3%，灵敏度 89.3% / 83.1% / 86.7%，误报率 0.48 / 0.62 / 0.54 次每小时。需要说明的是，SIENA 并未出现在论文摘要中，只在方法节与表 7 里作为补充验证出现。</w:t>
      </w:r>
    </w:p>
    <w:p>
      <w:r>
        <w:rPr>
          <w:rFonts w:ascii="Calibri" w:hAnsi="Calibri" w:eastAsia="等线"/>
          <w:b w:val="0"/>
          <w:i w:val="0"/>
        </w:rPr>
        <w:t>受计算资源限制（单卡 RTX 5060 Laptop，8 GB 显存），本复现选择在 CHB-MIT 数据集的 chb01 单患者上完成全流程。chb01 含 42 个 EDF 文件、23 个电极通道、7 次发作。测试集由每 5 个文件取 1 构成（9 个文件、8.65 小时、3 次发作）。</w:t>
      </w:r>
    </w:p>
    <w:p>
      <w:r>
        <w:rPr>
          <w:rFonts w:ascii="Calibri" w:hAnsi="Calibri" w:eastAsia="等线"/>
          <w:b w:val="0"/>
          <w:i w:val="0"/>
        </w:rPr>
        <w:t>因此本复现与论文之间不存在可比性上的对等关系：论文报的是跨患者结果，本复现是单患者结果；论文的事件级指标建立在 182 次发作之上，本复现只有 3 次。这一点在第八、九节展开。</w:t>
      </w:r>
    </w:p>
    <w:p>
      <w:r>
        <w:rPr>
          <w:rFonts w:ascii="Calibri" w:hAnsi="Calibri" w:eastAsia="等线"/>
          <w:b w:val="0"/>
          <w:i w:val="0"/>
        </w:rPr>
        <w:t>需要说明的是，单患者的发作事件数过少（测试集仅 3 次），事件级指标无法与论文做统计比较。这一点在第八节讨论中展开。</w:t>
      </w:r>
    </w:p>
    <w:p>
      <w:pPr>
        <w:pStyle w:val="Heading1"/>
      </w:pPr>
      <w:r>
        <w:rPr>
          <w:rFonts w:ascii="Calibri" w:hAnsi="Calibri" w:eastAsia="微软雅黑"/>
          <w:color w:val="1F3564"/>
        </w:rPr>
        <w:t>二、论文方法概述</w:t>
      </w:r>
    </w:p>
    <w:p>
      <w:r>
        <w:rPr>
          <w:rFonts w:ascii="Calibri" w:hAnsi="Calibri" w:eastAsia="等线"/>
          <w:b w:val="0"/>
          <w:i w:val="0"/>
        </w:rPr>
        <w:t>HP-GNN 的流程可拆为四步：</w:t>
      </w:r>
    </w:p>
    <w:p>
      <w:r>
        <w:rPr>
          <w:rFonts w:ascii="Calibri" w:hAnsi="Calibri" w:eastAsia="等线"/>
          <w:b/>
          <w:i w:val="0"/>
        </w:rPr>
        <w:t>2.1 超图构建</w:t>
      </w:r>
    </w:p>
    <w:p>
      <w:r>
        <w:rPr>
          <w:rFonts w:ascii="Calibri" w:hAnsi="Calibri" w:eastAsia="等线"/>
          <w:b w:val="0"/>
          <w:i w:val="0"/>
        </w:rPr>
        <w:t>对每个 5 秒窗口的 22 通道脑电，用 Hilbert 变换提取瞬时相位：</w:t>
      </w:r>
    </w:p>
    <w:p>
      <w:pPr>
        <w:jc w:val="center"/>
      </w:pPr>
      <w:r>
        <w:rPr>
          <w:rFonts w:ascii="Cambria Math" w:hAnsi="Cambria Math" w:eastAsia="等线"/>
          <w:i/>
        </w:rPr>
        <w:t>φ_c(t) = angle( hilbert( x_c(t) ) )</w:t>
      </w:r>
    </w:p>
    <w:p>
      <w:r>
        <w:rPr>
          <w:rFonts w:ascii="Calibri" w:hAnsi="Calibri" w:eastAsia="等线"/>
          <w:b w:val="0"/>
          <w:i w:val="0"/>
        </w:rPr>
        <w:t>再计算通道间的相位锁定值（PLV）作为耦合强度：</w:t>
      </w:r>
    </w:p>
    <w:p>
      <w:pPr>
        <w:jc w:val="center"/>
      </w:pPr>
      <w:r>
        <w:rPr>
          <w:rFonts w:ascii="Cambria Math" w:hAnsi="Cambria Math" w:eastAsia="等线"/>
          <w:i/>
        </w:rPr>
        <w:t>PLV_ij = | (1/T) Σ_t exp( i(φ_i(t) − φ_j(t)) ) |</w:t>
      </w:r>
    </w:p>
    <w:p>
      <w:r>
        <w:rPr>
          <w:rFonts w:ascii="Calibri" w:hAnsi="Calibri" w:eastAsia="等线"/>
          <w:b w:val="0"/>
          <w:i w:val="0"/>
        </w:rPr>
        <w:t>PLV 超过阈值 τ 的三个通道构成一条 3-团超边，全部超边构成超图。论文给出 τ = 0.65（由网格搜索确定），本复现改用 τ = 0.55，这是一处有意的偏离，理由见 4.2 节。</w:t>
      </w:r>
    </w:p>
    <w:p>
      <w:r>
        <w:rPr>
          <w:rFonts w:ascii="Calibri" w:hAnsi="Calibri" w:eastAsia="等线"/>
          <w:b/>
          <w:i w:val="0"/>
        </w:rPr>
        <w:t>2.2 超图卷积与序列建模</w:t>
      </w:r>
    </w:p>
    <w:p>
      <w:r>
        <w:rPr>
          <w:rFonts w:ascii="Calibri" w:hAnsi="Calibri" w:eastAsia="等线"/>
          <w:b w:val="0"/>
          <w:i w:val="0"/>
        </w:rPr>
        <w:t>由超边构造关联矩阵 H，经度归一化得到超图卷积所需的传播矩阵 P。每个窗口的特征为 22×22 的 PLV 矩阵（取上三角展平为 231 维）。窗口按时间排成长度 10 的序列，经超图卷积编码、图池化后送入 GRU，最后接两个输出头：四分类状态头与发作时间回归头。</w:t>
      </w:r>
    </w:p>
    <w:p>
      <w:r>
        <w:rPr>
          <w:rFonts w:ascii="Calibri" w:hAnsi="Calibri" w:eastAsia="等线"/>
          <w:b/>
          <w:i w:val="0"/>
        </w:rPr>
        <w:t>2.3 物理信息约束（本复现的重点）</w:t>
      </w:r>
    </w:p>
    <w:p>
      <w:r>
        <w:rPr>
          <w:rFonts w:ascii="Calibri" w:hAnsi="Calibri" w:eastAsia="等线"/>
          <w:b w:val="0"/>
          <w:i w:val="0"/>
        </w:rPr>
        <w:t>论文用 Kuramoto 方程约束相位演化：</w:t>
      </w:r>
    </w:p>
    <w:p>
      <w:pPr>
        <w:jc w:val="center"/>
      </w:pPr>
      <w:r>
        <w:rPr>
          <w:rFonts w:ascii="Cambria Math" w:hAnsi="Cambria Math" w:eastAsia="等线"/>
          <w:i/>
        </w:rPr>
        <w:t>dθ_i/dt = ω_i + (K/N) Σ_j P_ij · sin( θ_j − θ_i − α )</w:t>
      </w:r>
    </w:p>
    <w:p>
      <w:r>
        <w:rPr>
          <w:rFonts w:ascii="Calibri" w:hAnsi="Calibri" w:eastAsia="等线"/>
          <w:b w:val="0"/>
          <w:i w:val="0"/>
        </w:rPr>
        <w:t>网络额外输出相位 θ、本征频率 ω、耦合强度 K 三个量，物理损失定义为方程两边残差的均方误差，以权重 λ 加入总损失：</w:t>
      </w:r>
    </w:p>
    <w:p>
      <w:pPr>
        <w:jc w:val="center"/>
      </w:pPr>
      <w:r>
        <w:rPr>
          <w:rFonts w:ascii="Cambria Math" w:hAnsi="Cambria Math" w:eastAsia="等线"/>
          <w:i/>
        </w:rPr>
        <w:t>L = 0.8·L_state + 0.5·L_time + λ·L_physics</w:t>
      </w:r>
    </w:p>
    <w:p>
      <w:r>
        <w:rPr>
          <w:rFonts w:ascii="Calibri" w:hAnsi="Calibri" w:eastAsia="等线"/>
          <w:b w:val="0"/>
          <w:i w:val="0"/>
        </w:rPr>
        <w:t>论文取 λ = 0.03。</w:t>
      </w:r>
    </w:p>
    <w:p>
      <w:pPr>
        <w:pStyle w:val="Heading1"/>
      </w:pPr>
      <w:r>
        <w:rPr>
          <w:rFonts w:ascii="Calibri" w:hAnsi="Calibri" w:eastAsia="微软雅黑"/>
          <w:color w:val="1F3564"/>
        </w:rPr>
        <w:t>三、官方源码审读</w:t>
      </w:r>
    </w:p>
    <w:p>
      <w:r>
        <w:rPr>
          <w:rFonts w:ascii="Calibri" w:hAnsi="Calibri" w:eastAsia="等线"/>
          <w:b w:val="0"/>
          <w:i w:val="0"/>
        </w:rPr>
        <w:t>论文补充材料中共有 4 个 Python 文件（code_1、code_3、code_4、code_5）。逐行审读后发现三类问题，完整的证据链已另文整理（见《官方源码问题汇总.docx》），此处摘要。</w:t>
      </w:r>
    </w:p>
    <w:p>
      <w:r>
        <w:rPr>
          <w:rFonts w:ascii="Calibri" w:hAnsi="Calibri" w:eastAsia="等线"/>
          <w:b/>
          <w:i w:val="0"/>
        </w:rPr>
        <w:t>3.1 关键模块缺失</w:t>
      </w:r>
    </w:p>
    <w:p>
      <w:r>
        <w:rPr>
          <w:rFonts w:ascii="Calibri" w:hAnsi="Calibri" w:eastAsia="等线"/>
          <w:b w:val="0"/>
          <w:i w:val="0"/>
        </w:rPr>
        <w:t>编号从 code_1 直接跳到 code_3，code_2 完全不存在。而 code_1 做的是信号清洗（带通、ICA、标准化、CAR），code_3 需要的是超图输入，两者之间恰好缺了「Hilbert 相位 → PLV → 超边」这一步。这正是 code_2 本该完成的工作。对全部源码检索「code_2」零匹配，说明它从未被包含在补充材料中。</w:t>
      </w:r>
    </w:p>
    <w:p>
      <w:r>
        <w:rPr>
          <w:rFonts w:ascii="Calibri" w:hAnsi="Calibri" w:eastAsia="等线"/>
          <w:b/>
          <w:i w:val="0"/>
        </w:rPr>
        <w:t>3.2 物理损失实现退化</w:t>
      </w:r>
    </w:p>
    <w:p>
      <w:r>
        <w:rPr>
          <w:rFonts w:ascii="Calibri" w:hAnsi="Calibri" w:eastAsia="等线"/>
          <w:b w:val="0"/>
          <w:i w:val="0"/>
        </w:rPr>
        <w:t>源码第 249 行将导数项写死为零：</w:t>
      </w:r>
    </w:p>
    <w:p>
      <w:pPr>
        <w:jc w:val="center"/>
      </w:pPr>
      <w:r>
        <w:rPr>
          <w:rFonts w:ascii="Cambria Math" w:hAnsi="Cambria Math" w:eastAsia="等线"/>
          <w:i/>
        </w:rPr>
        <w:t>dtheta_dt = torch.zeros_like(phases)</w:t>
      </w:r>
    </w:p>
    <w:p>
      <w:r>
        <w:rPr>
          <w:rFonts w:ascii="Calibri" w:hAnsi="Calibri" w:eastAsia="等线"/>
          <w:b w:val="0"/>
          <w:i w:val="0"/>
        </w:rPr>
        <w:t>随后第 264 行计算残差均方误差。由于一边恒为零，该损失退化为 mean( rhs² )，其最小值在 ω → 0、K → 0 处取得。也就是说，论文声称的物理约束，实际效果是一个把耦合强度压向零的正则项。源码第 248 行还留有作者自己的注释：「In practice, use consecutive time windows」。</w:t>
      </w:r>
    </w:p>
    <w:p>
      <w:r>
        <w:rPr>
          <w:rFonts w:ascii="Calibri" w:hAnsi="Calibri" w:eastAsia="等线"/>
          <w:b w:val="0"/>
          <w:i w:val="0"/>
        </w:rPr>
        <w:t>此外，源码第 254-261 行的相互作用项对所有通道等权求和，完全没有使用超图矩阵 P。论文的两个核心卖点——超图结构与物理约束——在实现中没有任何联系。</w:t>
      </w:r>
    </w:p>
    <w:p>
      <w:r>
        <w:rPr>
          <w:rFonts w:ascii="Calibri" w:hAnsi="Calibri" w:eastAsia="等线"/>
          <w:b/>
          <w:i w:val="0"/>
        </w:rPr>
        <w:t>3.3 数据从未被加载</w:t>
      </w:r>
    </w:p>
    <w:p>
      <w:r>
        <w:rPr>
          <w:rFonts w:ascii="Calibri" w:hAnsi="Calibri" w:eastAsia="等线"/>
          <w:b w:val="0"/>
          <w:i w:val="0"/>
        </w:rPr>
        <w:t>全部四个源码文件中没有任何一处读取 CHB-MIT 数据。训练脚本的输入由 np.random.randn 生成，标签由 torch.randint 生成，超边被硬编码为固定的 (0, 1, 2)，邻接矩阵被设为单位阵。换言之，官方代码从未在真实数据上运行过。</w:t>
      </w:r>
    </w:p>
    <w:p>
      <w:pPr>
        <w:pStyle w:val="Heading1"/>
      </w:pPr>
      <w:r>
        <w:rPr>
          <w:rFonts w:ascii="Calibri" w:hAnsi="Calibri" w:eastAsia="微软雅黑"/>
          <w:color w:val="1F3564"/>
        </w:rPr>
        <w:t>四、本复现补全的数据管线</w:t>
      </w:r>
    </w:p>
    <w:p>
      <w:r>
        <w:rPr>
          <w:rFonts w:ascii="Calibri" w:hAnsi="Calibri" w:eastAsia="等线"/>
          <w:b w:val="0"/>
          <w:i w:val="0"/>
        </w:rPr>
        <w:t>由于 code_2 缺失且 code_1 未接真实数据，本节所述的模块全部为自行实现。</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eastAsia="等线"/>
                <w:b/>
                <w:sz w:val="19"/>
              </w:rPr>
              <w:t>自建模块</w:t>
            </w:r>
          </w:p>
        </w:tc>
        <w:tc>
          <w:tcPr>
            <w:tcW w:type="dxa" w:w="2880"/>
          </w:tcPr>
          <w:p>
            <w:r/>
            <w:r>
              <w:rPr>
                <w:rFonts w:ascii="Calibri" w:hAnsi="Calibri" w:eastAsia="等线"/>
                <w:b/>
                <w:sz w:val="19"/>
              </w:rPr>
              <w:t>功能</w:t>
            </w:r>
          </w:p>
        </w:tc>
        <w:tc>
          <w:tcPr>
            <w:tcW w:type="dxa" w:w="2880"/>
          </w:tcPr>
          <w:p>
            <w:r/>
            <w:r>
              <w:rPr>
                <w:rFonts w:ascii="Calibri" w:hAnsi="Calibri" w:eastAsia="等线"/>
                <w:b/>
                <w:sz w:val="19"/>
              </w:rPr>
              <w:t>关键参数</w:t>
            </w:r>
          </w:p>
        </w:tc>
      </w:tr>
      <w:tr>
        <w:tc>
          <w:tcPr>
            <w:tcW w:type="dxa" w:w="2880"/>
          </w:tcPr>
          <w:p>
            <w:r/>
            <w:r>
              <w:rPr>
                <w:rFonts w:ascii="Calibri" w:hAnsi="Calibri" w:eastAsia="等线"/>
                <w:sz w:val="19"/>
              </w:rPr>
              <w:t>plv.py</w:t>
            </w:r>
          </w:p>
        </w:tc>
        <w:tc>
          <w:tcPr>
            <w:tcW w:type="dxa" w:w="2880"/>
          </w:tcPr>
          <w:p>
            <w:r/>
            <w:r>
              <w:rPr>
                <w:rFonts w:ascii="Calibri" w:hAnsi="Calibri" w:eastAsia="等线"/>
                <w:sz w:val="19"/>
              </w:rPr>
              <w:t>Hilbert 变换、瞬时相位、PLV 计算</w:t>
            </w:r>
          </w:p>
        </w:tc>
        <w:tc>
          <w:tcPr>
            <w:tcW w:type="dxa" w:w="2880"/>
          </w:tcPr>
          <w:p>
            <w:r/>
            <w:r>
              <w:rPr>
                <w:rFonts w:ascii="Calibri" w:hAnsi="Calibri" w:eastAsia="等线"/>
                <w:sz w:val="19"/>
              </w:rPr>
              <w:t>—</w:t>
            </w:r>
          </w:p>
        </w:tc>
      </w:tr>
      <w:tr>
        <w:tc>
          <w:tcPr>
            <w:tcW w:type="dxa" w:w="2880"/>
          </w:tcPr>
          <w:p>
            <w:r/>
            <w:r>
              <w:rPr>
                <w:rFonts w:ascii="Calibri" w:hAnsi="Calibri" w:eastAsia="等线"/>
                <w:sz w:val="19"/>
              </w:rPr>
              <w:t>hypergraph.py</w:t>
            </w:r>
          </w:p>
        </w:tc>
        <w:tc>
          <w:tcPr>
            <w:tcW w:type="dxa" w:w="2880"/>
          </w:tcPr>
          <w:p>
            <w:r/>
            <w:r>
              <w:rPr>
                <w:rFonts w:ascii="Calibri" w:hAnsi="Calibri" w:eastAsia="等线"/>
                <w:sz w:val="19"/>
              </w:rPr>
              <w:t>逐窗 PLV → 3-团超边，坏道剔除</w:t>
            </w:r>
          </w:p>
        </w:tc>
        <w:tc>
          <w:tcPr>
            <w:tcW w:type="dxa" w:w="2880"/>
          </w:tcPr>
          <w:p>
            <w:r/>
            <w:r>
              <w:rPr>
                <w:rFonts w:ascii="Calibri" w:hAnsi="Calibri" w:eastAsia="等线"/>
                <w:sz w:val="19"/>
              </w:rPr>
              <w:t>τ = 0.55</w:t>
            </w:r>
          </w:p>
        </w:tc>
      </w:tr>
      <w:tr>
        <w:tc>
          <w:tcPr>
            <w:tcW w:type="dxa" w:w="2880"/>
          </w:tcPr>
          <w:p>
            <w:r/>
            <w:r>
              <w:rPr>
                <w:rFonts w:ascii="Calibri" w:hAnsi="Calibri" w:eastAsia="等线"/>
                <w:sz w:val="19"/>
              </w:rPr>
              <w:t>build_prop.py</w:t>
            </w:r>
          </w:p>
        </w:tc>
        <w:tc>
          <w:tcPr>
            <w:tcW w:type="dxa" w:w="2880"/>
          </w:tcPr>
          <w:p>
            <w:r/>
            <w:r>
              <w:rPr>
                <w:rFonts w:ascii="Calibri" w:hAnsi="Calibri" w:eastAsia="等线"/>
                <w:sz w:val="19"/>
              </w:rPr>
              <w:t>关联矩阵 H → 度归一化 → 传播矩阵 P</w:t>
            </w:r>
          </w:p>
        </w:tc>
        <w:tc>
          <w:tcPr>
            <w:tcW w:type="dxa" w:w="2880"/>
          </w:tcPr>
          <w:p>
            <w:r/>
            <w:r>
              <w:rPr>
                <w:rFonts w:ascii="Calibri" w:hAnsi="Calibri" w:eastAsia="等线"/>
                <w:sz w:val="19"/>
              </w:rPr>
              <w:t>—</w:t>
            </w:r>
          </w:p>
        </w:tc>
      </w:tr>
      <w:tr>
        <w:tc>
          <w:tcPr>
            <w:tcW w:type="dxa" w:w="2880"/>
          </w:tcPr>
          <w:p>
            <w:r/>
            <w:r>
              <w:rPr>
                <w:rFonts w:ascii="Calibri" w:hAnsi="Calibri" w:eastAsia="等线"/>
                <w:sz w:val="19"/>
              </w:rPr>
              <w:t>build_timeline.py</w:t>
            </w:r>
          </w:p>
        </w:tc>
        <w:tc>
          <w:tcPr>
            <w:tcW w:type="dxa" w:w="2880"/>
          </w:tcPr>
          <w:p>
            <w:r/>
            <w:r>
              <w:rPr>
                <w:rFonts w:ascii="Calibri" w:hAnsi="Calibri" w:eastAsia="等线"/>
                <w:sz w:val="19"/>
              </w:rPr>
              <w:t>跨文件全局时间轴、发作时刻映射</w:t>
            </w:r>
          </w:p>
        </w:tc>
        <w:tc>
          <w:tcPr>
            <w:tcW w:type="dxa" w:w="2880"/>
          </w:tcPr>
          <w:p>
            <w:r/>
            <w:r>
              <w:rPr>
                <w:rFonts w:ascii="Calibri" w:hAnsi="Calibri" w:eastAsia="等线"/>
                <w:sz w:val="19"/>
              </w:rPr>
              <w:t>—</w:t>
            </w:r>
          </w:p>
        </w:tc>
      </w:tr>
      <w:tr>
        <w:tc>
          <w:tcPr>
            <w:tcW w:type="dxa" w:w="2880"/>
          </w:tcPr>
          <w:p>
            <w:r/>
            <w:r>
              <w:rPr>
                <w:rFonts w:ascii="Calibri" w:hAnsi="Calibri" w:eastAsia="等线"/>
                <w:sz w:val="19"/>
              </w:rPr>
              <w:t>build_windows.py</w:t>
            </w:r>
          </w:p>
        </w:tc>
        <w:tc>
          <w:tcPr>
            <w:tcW w:type="dxa" w:w="2880"/>
          </w:tcPr>
          <w:p>
            <w:r/>
            <w:r>
              <w:rPr>
                <w:rFonts w:ascii="Calibri" w:hAnsi="Calibri" w:eastAsia="等线"/>
                <w:sz w:val="19"/>
              </w:rPr>
              <w:t>5 秒窗口切分、四类状态标签</w:t>
            </w:r>
          </w:p>
        </w:tc>
        <w:tc>
          <w:tcPr>
            <w:tcW w:type="dxa" w:w="2880"/>
          </w:tcPr>
          <w:p>
            <w:r/>
            <w:r>
              <w:rPr>
                <w:rFonts w:ascii="Calibri" w:hAnsi="Calibri" w:eastAsia="等线"/>
                <w:sz w:val="19"/>
              </w:rPr>
              <w:t>preictal = 30 min</w:t>
            </w:r>
          </w:p>
        </w:tc>
      </w:tr>
      <w:tr>
        <w:tc>
          <w:tcPr>
            <w:tcW w:type="dxa" w:w="2880"/>
          </w:tcPr>
          <w:p>
            <w:r/>
            <w:r>
              <w:rPr>
                <w:rFonts w:ascii="Calibri" w:hAnsi="Calibri" w:eastAsia="等线"/>
                <w:sz w:val="19"/>
              </w:rPr>
              <w:t>dataset.py</w:t>
            </w:r>
          </w:p>
        </w:tc>
        <w:tc>
          <w:tcPr>
            <w:tcW w:type="dxa" w:w="2880"/>
          </w:tcPr>
          <w:p>
            <w:r/>
            <w:r>
              <w:rPr>
                <w:rFonts w:ascii="Calibri" w:hAnsi="Calibri" w:eastAsia="等线"/>
                <w:sz w:val="19"/>
              </w:rPr>
              <w:t>序列构造、按文件划分训练/测试集</w:t>
            </w:r>
          </w:p>
        </w:tc>
        <w:tc>
          <w:tcPr>
            <w:tcW w:type="dxa" w:w="2880"/>
          </w:tcPr>
          <w:p>
            <w:r/>
            <w:r>
              <w:rPr>
                <w:rFonts w:ascii="Calibri" w:hAnsi="Calibri" w:eastAsia="等线"/>
                <w:sz w:val="19"/>
              </w:rPr>
              <w:t>T = 10，stride = 1</w:t>
            </w:r>
          </w:p>
        </w:tc>
      </w:tr>
    </w:tbl>
    <w:p/>
    <w:p>
      <w:r>
        <w:rPr>
          <w:rFonts w:ascii="Calibri" w:hAnsi="Calibri" w:eastAsia="等线"/>
          <w:b/>
          <w:i w:val="0"/>
        </w:rPr>
        <w:t>4.1 通道对齐</w:t>
      </w:r>
    </w:p>
    <w:p>
      <w:r>
        <w:rPr>
          <w:rFonts w:ascii="Calibri" w:hAnsi="Calibri" w:eastAsia="等线"/>
          <w:b w:val="0"/>
          <w:i w:val="0"/>
        </w:rPr>
        <w:t>CHB-MIT 的部分记录含 23 个通道，其中一个（T8-P8-1）与 T8-P8 完全重复。本复现按与官方一致的做法，在检测到重复时剔除该通道，统一为 22 通道。</w:t>
      </w:r>
    </w:p>
    <w:p>
      <w:r>
        <w:rPr>
          <w:rFonts w:ascii="Calibri" w:hAnsi="Calibri" w:eastAsia="等线"/>
          <w:b/>
          <w:i w:val="0"/>
        </w:rPr>
        <w:t>4.2 τ 阈值的确定</w:t>
      </w:r>
    </w:p>
    <w:p>
      <w:r>
        <w:rPr>
          <w:rFonts w:ascii="Calibri" w:hAnsi="Calibri" w:eastAsia="等线"/>
          <w:b w:val="0"/>
          <w:i w:val="0"/>
        </w:rPr>
        <w:t>论文给出 PLV 阈值 τ = 0.65，用于 3-团超边检测。本复现在实现中采用了 τ = 0.55 —— 这是一个有意的偏离，原因是在本复现的流程下，τ = 0.65 会使超边数量过少、超图过于稀疏。</w:t>
      </w:r>
    </w:p>
    <w:p>
      <w:r>
        <w:rPr>
          <w:rFonts w:ascii="Calibri" w:hAnsi="Calibri" w:eastAsia="等线"/>
          <w:b w:val="0"/>
          <w:i w:val="0"/>
        </w:rPr>
        <w:t>偏离的可能机制是预处理差异。论文的 code_1 包含 1-50 Hz 带通、FastICA 去伪迹、稳健标准化与 CAR；本复现为简化流程，直接使用原始信号提取相位。PLV 的绝对水平依赖信号的频谱成分与噪声，省略这些步骤会系统性改变 PLV 的分布，最优阈值也随之偏移。</w:t>
      </w:r>
    </w:p>
    <w:p>
      <w:r>
        <w:rPr>
          <w:rFonts w:ascii="Calibri" w:hAnsi="Calibri" w:eastAsia="等线"/>
          <w:b w:val="0"/>
          <w:i w:val="0"/>
        </w:rPr>
        <w:t>本复现未对该阈值做敏感性分析，也未复现论文的完整预处理链。这是本研究的一处方法学偏离，在解释与论文的数值差异时应当计入。</w:t>
      </w:r>
    </w:p>
    <w:p>
      <w:r>
        <w:rPr>
          <w:rFonts w:ascii="Calibri" w:hAnsi="Calibri" w:eastAsia="等线"/>
          <w:b/>
          <w:i w:val="0"/>
        </w:rPr>
        <w:t>4.3 数据划分</w:t>
      </w:r>
    </w:p>
    <w:p>
      <w:r>
        <w:rPr>
          <w:rFonts w:ascii="Calibri" w:hAnsi="Calibri" w:eastAsia="等线"/>
          <w:b w:val="0"/>
          <w:i w:val="0"/>
        </w:rPr>
        <w:t>按文件划分：每 5 个文件取 1 个作为测试集。这一划分保证了同一段记录的不同窗口不会同时出现在训练集和测试集中。最终得到 28778 条序列，其中测试集 6144 条。</w:t>
      </w:r>
    </w:p>
    <w:p>
      <w:pPr>
        <w:pStyle w:val="Heading1"/>
      </w:pPr>
      <w:r>
        <w:rPr>
          <w:rFonts w:ascii="Calibri" w:hAnsi="Calibri" w:eastAsia="微软雅黑"/>
          <w:color w:val="1F3564"/>
        </w:rPr>
        <w:t>五、模型与训练</w:t>
      </w:r>
    </w:p>
    <w:p>
      <w:r>
        <w:rPr>
          <w:rFonts w:ascii="Calibri" w:hAnsi="Calibri" w:eastAsia="等线"/>
          <w:b w:val="0"/>
          <w:i w:val="0"/>
        </w:rPr>
        <w:t>模型结构参照论文描述实现：</w:t>
      </w:r>
    </w:p>
    <w:p>
      <w:pPr>
        <w:pStyle w:val="ListBullet"/>
        <w:ind w:left="360"/>
      </w:pPr>
      <w:r>
        <w:rPr>
          <w:rFonts w:ascii="Calibri" w:hAnsi="Calibri" w:eastAsia="等线"/>
        </w:rPr>
        <w:t>超图卷积层：22 → 64 维（使用传播矩阵 P）</w:t>
      </w:r>
    </w:p>
    <w:p>
      <w:pPr>
        <w:pStyle w:val="ListBullet"/>
        <w:ind w:left="360"/>
      </w:pPr>
      <w:r>
        <w:rPr>
          <w:rFonts w:ascii="Calibri" w:hAnsi="Calibri" w:eastAsia="等线"/>
        </w:rPr>
        <w:t>图池化 + GRU（隐藏维 64）</w:t>
      </w:r>
    </w:p>
    <w:p>
      <w:pPr>
        <w:pStyle w:val="ListBullet"/>
        <w:ind w:left="360"/>
      </w:pPr>
      <w:r>
        <w:rPr>
          <w:rFonts w:ascii="Calibri" w:hAnsi="Calibri" w:eastAsia="等线"/>
        </w:rPr>
        <w:t>四分类状态头（发作间期 / 发作前期 / 发作期 / 发作后）</w:t>
      </w:r>
    </w:p>
    <w:p>
      <w:pPr>
        <w:pStyle w:val="ListBullet"/>
        <w:ind w:left="360"/>
      </w:pPr>
      <w:r>
        <w:rPr>
          <w:rFonts w:ascii="Calibri" w:hAnsi="Calibri" w:eastAsia="等线"/>
        </w:rPr>
        <w:t>发作时间回归头（ReLU 保证非负）</w:t>
      </w:r>
    </w:p>
    <w:p>
      <w:pPr>
        <w:pStyle w:val="ListBullet"/>
        <w:ind w:left="360"/>
      </w:pPr>
      <w:r>
        <w:rPr>
          <w:rFonts w:ascii="Calibri" w:hAnsi="Calibri" w:eastAsia="等线"/>
        </w:rPr>
        <w:t>Kuramoto 物理模块</w:t>
      </w:r>
    </w:p>
    <w:p>
      <w:r>
        <w:rPr>
          <w:rFonts w:ascii="Calibri" w:hAnsi="Calibri" w:eastAsia="等线"/>
          <w:b w:val="0"/>
          <w:i w:val="0"/>
        </w:rPr>
        <w:t>总参数量 30917。优化器与训练轮数：20 轮，损失权重 0.8·L_state + 0.5·L_time + λ·L_physics。</w:t>
      </w:r>
    </w:p>
    <w:p>
      <w:r>
        <w:rPr>
          <w:rFonts w:ascii="Calibri" w:hAnsi="Calibri" w:eastAsia="等线"/>
          <w:b/>
          <w:i w:val="0"/>
        </w:rPr>
        <w:t>与论文的三处结构性差异（均为有意的简化，需在比较时计入）：</w:t>
      </w:r>
    </w:p>
    <w:p>
      <w:pPr>
        <w:pStyle w:val="ListBullet"/>
        <w:ind w:left="360"/>
      </w:pPr>
      <w:r>
        <w:rPr>
          <w:rFonts w:ascii="Calibri" w:hAnsi="Calibri" w:eastAsia="等线"/>
        </w:rPr>
        <w:t>时序模型：论文使用 Mamba 状态空间网络（线性复杂度 O(T)），本复现以 GRU 替代，原因是 Mamba 需要额外依赖且显存开销较大。</w:t>
      </w:r>
    </w:p>
    <w:p>
      <w:pPr>
        <w:pStyle w:val="ListBullet"/>
        <w:ind w:left="360"/>
      </w:pPr>
      <w:r>
        <w:rPr>
          <w:rFonts w:ascii="Calibri" w:hAnsi="Calibri" w:eastAsia="等线"/>
        </w:rPr>
        <w:t>超图卷积层数：论文为三层（64 → 128 → 256 维），本复现为单层 22 → 64 维，以适配 8 GB 显存。</w:t>
      </w:r>
    </w:p>
    <w:p>
      <w:pPr>
        <w:pStyle w:val="ListBullet"/>
        <w:ind w:left="360"/>
      </w:pPr>
      <w:r>
        <w:rPr>
          <w:rFonts w:ascii="Calibri" w:hAnsi="Calibri" w:eastAsia="等线"/>
        </w:rPr>
        <w:t>训练流程：论文采用两阶段（844 小时自监督预训练 + 有监督微调）与四折交叉验证；本复现为单阶段有监督训练，未做交叉验证。</w:t>
      </w:r>
    </w:p>
    <w:p>
      <w:pPr>
        <w:pStyle w:val="Heading1"/>
      </w:pPr>
      <w:r>
        <w:rPr>
          <w:rFonts w:ascii="Calibri" w:hAnsi="Calibri" w:eastAsia="微软雅黑"/>
          <w:color w:val="1F3564"/>
        </w:rPr>
        <w:t>六、实验结果</w:t>
      </w:r>
    </w:p>
    <w:p>
      <w:r>
        <w:rPr>
          <w:rFonts w:ascii="Calibri" w:hAnsi="Calibri" w:eastAsia="等线"/>
          <w:b/>
          <w:i w:val="0"/>
        </w:rPr>
        <w:t>6.1 物理损失对照实验</w:t>
      </w:r>
    </w:p>
    <w:p>
      <w:r>
        <w:rPr>
          <w:rFonts w:ascii="Calibri" w:hAnsi="Calibri" w:eastAsia="等线"/>
          <w:b w:val="0"/>
          <w:i w:val="0"/>
        </w:rPr>
        <w:t>为隔离物理损失的作用，设计了两组对照：除 λ 之外，随机种子、数据洗牌顺序、模型架构、训练轮数完全一致。</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eastAsia="等线"/>
                <w:b/>
                <w:sz w:val="19"/>
              </w:rPr>
              <w:t>指标（后 10 轮均值）</w:t>
            </w:r>
          </w:p>
        </w:tc>
        <w:tc>
          <w:tcPr>
            <w:tcW w:type="dxa" w:w="2160"/>
          </w:tcPr>
          <w:p>
            <w:r/>
            <w:r>
              <w:rPr>
                <w:rFonts w:ascii="Calibri" w:hAnsi="Calibri" w:eastAsia="等线"/>
                <w:b/>
                <w:sz w:val="19"/>
              </w:rPr>
              <w:t>λ = 0（基线）</w:t>
            </w:r>
          </w:p>
        </w:tc>
        <w:tc>
          <w:tcPr>
            <w:tcW w:type="dxa" w:w="2160"/>
          </w:tcPr>
          <w:p>
            <w:r/>
            <w:r>
              <w:rPr>
                <w:rFonts w:ascii="Calibri" w:hAnsi="Calibri" w:eastAsia="等线"/>
                <w:b/>
                <w:sz w:val="19"/>
              </w:rPr>
              <w:t>λ = 0.03（物理版）</w:t>
            </w:r>
          </w:p>
        </w:tc>
        <w:tc>
          <w:tcPr>
            <w:tcW w:type="dxa" w:w="2160"/>
          </w:tcPr>
          <w:p>
            <w:r/>
            <w:r>
              <w:rPr>
                <w:rFonts w:ascii="Calibri" w:hAnsi="Calibri" w:eastAsia="等线"/>
                <w:b/>
                <w:sz w:val="19"/>
              </w:rPr>
              <w:t>差值</w:t>
            </w:r>
          </w:p>
        </w:tc>
      </w:tr>
      <w:tr>
        <w:tc>
          <w:tcPr>
            <w:tcW w:type="dxa" w:w="2160"/>
          </w:tcPr>
          <w:p>
            <w:r/>
            <w:r>
              <w:rPr>
                <w:rFonts w:ascii="Calibri" w:hAnsi="Calibri" w:eastAsia="等线"/>
                <w:sz w:val="19"/>
              </w:rPr>
              <w:t>总准确率</w:t>
            </w:r>
          </w:p>
        </w:tc>
        <w:tc>
          <w:tcPr>
            <w:tcW w:type="dxa" w:w="2160"/>
          </w:tcPr>
          <w:p>
            <w:r/>
            <w:r>
              <w:rPr>
                <w:rFonts w:ascii="Calibri" w:hAnsi="Calibri" w:eastAsia="等线"/>
                <w:sz w:val="19"/>
              </w:rPr>
              <w:t>0.7180</w:t>
            </w:r>
          </w:p>
        </w:tc>
        <w:tc>
          <w:tcPr>
            <w:tcW w:type="dxa" w:w="2160"/>
          </w:tcPr>
          <w:p>
            <w:r/>
            <w:r>
              <w:rPr>
                <w:rFonts w:ascii="Calibri" w:hAnsi="Calibri" w:eastAsia="等线"/>
                <w:sz w:val="19"/>
              </w:rPr>
              <w:t>0.7216</w:t>
            </w:r>
          </w:p>
        </w:tc>
        <w:tc>
          <w:tcPr>
            <w:tcW w:type="dxa" w:w="2160"/>
          </w:tcPr>
          <w:p>
            <w:r/>
            <w:r>
              <w:rPr>
                <w:rFonts w:ascii="Calibri" w:hAnsi="Calibri" w:eastAsia="等线"/>
                <w:sz w:val="19"/>
              </w:rPr>
              <w:t>+0.0036</w:t>
            </w:r>
          </w:p>
        </w:tc>
      </w:tr>
      <w:tr>
        <w:tc>
          <w:tcPr>
            <w:tcW w:type="dxa" w:w="2160"/>
          </w:tcPr>
          <w:p>
            <w:r/>
            <w:r>
              <w:rPr>
                <w:rFonts w:ascii="Calibri" w:hAnsi="Calibri" w:eastAsia="等线"/>
                <w:sz w:val="19"/>
              </w:rPr>
              <w:t>Balanced accuracy</w:t>
            </w:r>
          </w:p>
        </w:tc>
        <w:tc>
          <w:tcPr>
            <w:tcW w:type="dxa" w:w="2160"/>
          </w:tcPr>
          <w:p>
            <w:r/>
            <w:r>
              <w:rPr>
                <w:rFonts w:ascii="Calibri" w:hAnsi="Calibri" w:eastAsia="等线"/>
                <w:sz w:val="19"/>
              </w:rPr>
              <w:t>0.6438</w:t>
            </w:r>
          </w:p>
        </w:tc>
        <w:tc>
          <w:tcPr>
            <w:tcW w:type="dxa" w:w="2160"/>
          </w:tcPr>
          <w:p>
            <w:r/>
            <w:r>
              <w:rPr>
                <w:rFonts w:ascii="Calibri" w:hAnsi="Calibri" w:eastAsia="等线"/>
                <w:sz w:val="19"/>
              </w:rPr>
              <w:t>0.6503</w:t>
            </w:r>
          </w:p>
        </w:tc>
        <w:tc>
          <w:tcPr>
            <w:tcW w:type="dxa" w:w="2160"/>
          </w:tcPr>
          <w:p>
            <w:r/>
            <w:r>
              <w:rPr>
                <w:rFonts w:ascii="Calibri" w:hAnsi="Calibri" w:eastAsia="等线"/>
                <w:sz w:val="19"/>
              </w:rPr>
              <w:t>+0.0065</w:t>
            </w:r>
          </w:p>
        </w:tc>
      </w:tr>
      <w:tr>
        <w:tc>
          <w:tcPr>
            <w:tcW w:type="dxa" w:w="2160"/>
          </w:tcPr>
          <w:p>
            <w:r/>
            <w:r>
              <w:rPr>
                <w:rFonts w:ascii="Calibri" w:hAnsi="Calibri" w:eastAsia="等线"/>
                <w:sz w:val="19"/>
              </w:rPr>
              <w:t>类1（发作前期）recall</w:t>
            </w:r>
          </w:p>
        </w:tc>
        <w:tc>
          <w:tcPr>
            <w:tcW w:type="dxa" w:w="2160"/>
          </w:tcPr>
          <w:p>
            <w:r/>
            <w:r>
              <w:rPr>
                <w:rFonts w:ascii="Calibri" w:hAnsi="Calibri" w:eastAsia="等线"/>
                <w:sz w:val="19"/>
              </w:rPr>
              <w:t>0.5187</w:t>
            </w:r>
          </w:p>
        </w:tc>
        <w:tc>
          <w:tcPr>
            <w:tcW w:type="dxa" w:w="2160"/>
          </w:tcPr>
          <w:p>
            <w:r/>
            <w:r>
              <w:rPr>
                <w:rFonts w:ascii="Calibri" w:hAnsi="Calibri" w:eastAsia="等线"/>
                <w:sz w:val="19"/>
              </w:rPr>
              <w:t>0.5058</w:t>
            </w:r>
          </w:p>
        </w:tc>
        <w:tc>
          <w:tcPr>
            <w:tcW w:type="dxa" w:w="2160"/>
          </w:tcPr>
          <w:p>
            <w:r/>
            <w:r>
              <w:rPr>
                <w:rFonts w:ascii="Calibri" w:hAnsi="Calibri" w:eastAsia="等线"/>
                <w:sz w:val="19"/>
              </w:rPr>
              <w:t>−0.0129</w:t>
            </w:r>
          </w:p>
        </w:tc>
      </w:tr>
      <w:tr>
        <w:tc>
          <w:tcPr>
            <w:tcW w:type="dxa" w:w="2160"/>
          </w:tcPr>
          <w:p>
            <w:r/>
            <w:r>
              <w:rPr>
                <w:rFonts w:ascii="Calibri" w:hAnsi="Calibri" w:eastAsia="等线"/>
                <w:sz w:val="19"/>
              </w:rPr>
              <w:t>类1（发作前期）precision</w:t>
            </w:r>
          </w:p>
        </w:tc>
        <w:tc>
          <w:tcPr>
            <w:tcW w:type="dxa" w:w="2160"/>
          </w:tcPr>
          <w:p>
            <w:r/>
            <w:r>
              <w:rPr>
                <w:rFonts w:ascii="Calibri" w:hAnsi="Calibri" w:eastAsia="等线"/>
                <w:sz w:val="19"/>
              </w:rPr>
              <w:t>0.2300</w:t>
            </w:r>
          </w:p>
        </w:tc>
        <w:tc>
          <w:tcPr>
            <w:tcW w:type="dxa" w:w="2160"/>
          </w:tcPr>
          <w:p>
            <w:r/>
            <w:r>
              <w:rPr>
                <w:rFonts w:ascii="Calibri" w:hAnsi="Calibri" w:eastAsia="等线"/>
                <w:sz w:val="19"/>
              </w:rPr>
              <w:t>0.2240</w:t>
            </w:r>
          </w:p>
        </w:tc>
        <w:tc>
          <w:tcPr>
            <w:tcW w:type="dxa" w:w="2160"/>
          </w:tcPr>
          <w:p>
            <w:r/>
            <w:r>
              <w:rPr>
                <w:rFonts w:ascii="Calibri" w:hAnsi="Calibri" w:eastAsia="等线"/>
                <w:sz w:val="19"/>
              </w:rPr>
              <w:t>−0.0060</w:t>
            </w:r>
          </w:p>
        </w:tc>
      </w:tr>
      <w:tr>
        <w:tc>
          <w:tcPr>
            <w:tcW w:type="dxa" w:w="2160"/>
          </w:tcPr>
          <w:p>
            <w:r/>
            <w:r>
              <w:rPr>
                <w:rFonts w:ascii="Calibri" w:hAnsi="Calibri" w:eastAsia="等线"/>
                <w:sz w:val="19"/>
              </w:rPr>
              <w:t>类3（发作期）recall</w:t>
            </w:r>
          </w:p>
        </w:tc>
        <w:tc>
          <w:tcPr>
            <w:tcW w:type="dxa" w:w="2160"/>
          </w:tcPr>
          <w:p>
            <w:r/>
            <w:r>
              <w:rPr>
                <w:rFonts w:ascii="Calibri" w:hAnsi="Calibri" w:eastAsia="等线"/>
                <w:sz w:val="19"/>
              </w:rPr>
              <w:t>0.5435</w:t>
            </w:r>
          </w:p>
        </w:tc>
        <w:tc>
          <w:tcPr>
            <w:tcW w:type="dxa" w:w="2160"/>
          </w:tcPr>
          <w:p>
            <w:r/>
            <w:r>
              <w:rPr>
                <w:rFonts w:ascii="Calibri" w:hAnsi="Calibri" w:eastAsia="等线"/>
                <w:sz w:val="19"/>
              </w:rPr>
              <w:t>0.5468</w:t>
            </w:r>
          </w:p>
        </w:tc>
        <w:tc>
          <w:tcPr>
            <w:tcW w:type="dxa" w:w="2160"/>
          </w:tcPr>
          <w:p>
            <w:r/>
            <w:r>
              <w:rPr>
                <w:rFonts w:ascii="Calibri" w:hAnsi="Calibri" w:eastAsia="等线"/>
                <w:sz w:val="19"/>
              </w:rPr>
              <w:t>+0.0033</w:t>
            </w:r>
          </w:p>
        </w:tc>
      </w:tr>
      <w:tr>
        <w:tc>
          <w:tcPr>
            <w:tcW w:type="dxa" w:w="2160"/>
          </w:tcPr>
          <w:p>
            <w:r/>
            <w:r>
              <w:rPr>
                <w:rFonts w:ascii="Calibri" w:hAnsi="Calibri" w:eastAsia="等线"/>
                <w:sz w:val="19"/>
              </w:rPr>
              <w:t>类3（发作期）precision</w:t>
            </w:r>
          </w:p>
        </w:tc>
        <w:tc>
          <w:tcPr>
            <w:tcW w:type="dxa" w:w="2160"/>
          </w:tcPr>
          <w:p>
            <w:r/>
            <w:r>
              <w:rPr>
                <w:rFonts w:ascii="Calibri" w:hAnsi="Calibri" w:eastAsia="等线"/>
                <w:sz w:val="19"/>
              </w:rPr>
              <w:t>0.5038</w:t>
            </w:r>
          </w:p>
        </w:tc>
        <w:tc>
          <w:tcPr>
            <w:tcW w:type="dxa" w:w="2160"/>
          </w:tcPr>
          <w:p>
            <w:r/>
            <w:r>
              <w:rPr>
                <w:rFonts w:ascii="Calibri" w:hAnsi="Calibri" w:eastAsia="等线"/>
                <w:sz w:val="19"/>
              </w:rPr>
              <w:t>0.5171</w:t>
            </w:r>
          </w:p>
        </w:tc>
        <w:tc>
          <w:tcPr>
            <w:tcW w:type="dxa" w:w="2160"/>
          </w:tcPr>
          <w:p>
            <w:r/>
            <w:r>
              <w:rPr>
                <w:rFonts w:ascii="Calibri" w:hAnsi="Calibri" w:eastAsia="等线"/>
                <w:sz w:val="19"/>
              </w:rPr>
              <w:t>+0.0133</w:t>
            </w:r>
          </w:p>
        </w:tc>
      </w:tr>
    </w:tbl>
    <w:p/>
    <w:p>
      <w:r>
        <w:rPr>
          <w:rFonts w:ascii="Calibri" w:hAnsi="Calibri" w:eastAsia="等线"/>
          <w:b/>
          <w:i w:val="0"/>
        </w:rPr>
        <w:t>单轮准确率的波动范围达 0.124，两组之间的差值 0.0036 是它的三分之一。</w:t>
      </w:r>
    </w:p>
    <w:p>
      <w:r>
        <w:rPr>
          <w:rFonts w:ascii="Calibri" w:hAnsi="Calibri" w:eastAsia="等线"/>
          <w:b w:val="0"/>
          <w:i w:val="0"/>
        </w:rPr>
        <w:t>这个结果需要与论文自报的数字对照。论文方法节的消融研究原文为：</w:t>
      </w:r>
    </w:p>
    <w:p>
      <w:pPr>
        <w:jc w:val="center"/>
      </w:pPr>
      <w:r>
        <w:rPr>
          <w:rFonts w:ascii="Cambria Math" w:hAnsi="Cambria Math" w:eastAsia="等线"/>
          <w:i/>
        </w:rPr>
        <w:t>Physics constraints (+0.9%) improve generalization despite small loss weight (λ1 = 0.03)</w:t>
      </w:r>
    </w:p>
    <w:p>
      <w:r>
        <w:rPr>
          <w:rFonts w:ascii="Calibri" w:hAnsi="Calibri" w:eastAsia="等线"/>
          <w:b w:val="0"/>
          <w:i w:val="0"/>
        </w:rPr>
        <w:t>即论文自己承认，物理损失只带来 0.9% 的准确率提升。而论文表 5 报告 HP-GNN 的折间标准差为 ±2.1%。两相对照：论文自报的效应量 0.9%，小于它自己的折间噪声 2.1%。</w:t>
      </w:r>
    </w:p>
    <w:p>
      <w:r>
        <w:rPr>
          <w:rFonts w:ascii="Calibri" w:hAnsi="Calibri" w:eastAsia="等线"/>
          <w:b/>
          <w:i w:val="0"/>
        </w:rPr>
        <w:t>本复现测得的 +0.36% 与论文的 +0.9% 处于同一量级，方向也一致。因此本复现与论文之间并不存在矛盾——分歧在于论文把这一量级的效应解释成了有效的物理约束。</w:t>
      </w:r>
    </w:p>
    <w:p>
      <w:r>
        <w:rPr>
          <w:rFonts w:ascii="Calibri" w:hAnsi="Calibri" w:eastAsia="等线"/>
          <w:b w:val="0"/>
          <w:i w:val="0"/>
        </w:rPr>
        <w:t>需要说明的是，论文未报告该消融项的配对差值标准差，因此无法从原文判断其声称的 p &lt; 0.05 是否成立；但可以确定的是，0.9% 这一效应量小于论文自己报告的性能波动。</w:t>
      </w:r>
    </w:p>
    <w:p>
      <w:r>
        <w:rPr>
          <w:rFonts w:ascii="Calibri" w:hAnsi="Calibri" w:eastAsia="等线"/>
          <w:b/>
          <w:i w:val="0"/>
        </w:rPr>
        <w:t>6.2 物理模块内部状态</w:t>
      </w:r>
    </w:p>
    <w:p>
      <w:r>
        <w:rPr>
          <w:rFonts w:ascii="Calibri" w:hAnsi="Calibri" w:eastAsia="等线"/>
          <w:b w:val="0"/>
          <w:i w:val="0"/>
        </w:rPr>
        <w:t>训练过程中记录了物理模块输出的三个量：</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Calibri" w:hAnsi="Calibri" w:eastAsia="等线"/>
                <w:b/>
                <w:sz w:val="19"/>
              </w:rPr>
              <w:t>轮次</w:t>
            </w:r>
          </w:p>
        </w:tc>
        <w:tc>
          <w:tcPr>
            <w:tcW w:type="dxa" w:w="1728"/>
          </w:tcPr>
          <w:p>
            <w:r/>
            <w:r>
              <w:rPr>
                <w:rFonts w:ascii="Calibri" w:hAnsi="Calibri" w:eastAsia="等线"/>
                <w:b/>
                <w:sz w:val="19"/>
              </w:rPr>
              <w:t>L_physics</w:t>
            </w:r>
          </w:p>
        </w:tc>
        <w:tc>
          <w:tcPr>
            <w:tcW w:type="dxa" w:w="1728"/>
          </w:tcPr>
          <w:p>
            <w:r/>
            <w:r>
              <w:rPr>
                <w:rFonts w:ascii="Calibri" w:hAnsi="Calibri" w:eastAsia="等线"/>
                <w:b/>
                <w:sz w:val="19"/>
              </w:rPr>
              <w:t>耦合强度 K</w:t>
            </w:r>
          </w:p>
        </w:tc>
        <w:tc>
          <w:tcPr>
            <w:tcW w:type="dxa" w:w="1728"/>
          </w:tcPr>
          <w:p>
            <w:r/>
            <w:r>
              <w:rPr>
                <w:rFonts w:ascii="Calibri" w:hAnsi="Calibri" w:eastAsia="等线"/>
                <w:b/>
                <w:sz w:val="19"/>
              </w:rPr>
              <w:t>本征频率 ω</w:t>
            </w:r>
          </w:p>
        </w:tc>
        <w:tc>
          <w:tcPr>
            <w:tcW w:type="dxa" w:w="1728"/>
          </w:tcPr>
          <w:p>
            <w:r/>
            <w:r>
              <w:rPr>
                <w:rFonts w:ascii="Calibri" w:hAnsi="Calibri" w:eastAsia="等线"/>
                <w:b/>
                <w:sz w:val="19"/>
              </w:rPr>
              <w:t>|dθ/dt|</w:t>
            </w:r>
          </w:p>
        </w:tc>
      </w:tr>
      <w:tr>
        <w:tc>
          <w:tcPr>
            <w:tcW w:type="dxa" w:w="1728"/>
          </w:tcPr>
          <w:p>
            <w:r/>
            <w:r>
              <w:rPr>
                <w:rFonts w:ascii="Calibri" w:hAnsi="Calibri" w:eastAsia="等线"/>
                <w:sz w:val="19"/>
              </w:rPr>
              <w:t>1</w:t>
            </w:r>
          </w:p>
        </w:tc>
        <w:tc>
          <w:tcPr>
            <w:tcW w:type="dxa" w:w="1728"/>
          </w:tcPr>
          <w:p>
            <w:r/>
            <w:r>
              <w:rPr>
                <w:rFonts w:ascii="Calibri" w:hAnsi="Calibri" w:eastAsia="等线"/>
                <w:sz w:val="19"/>
              </w:rPr>
              <w:t>0.0089</w:t>
            </w:r>
          </w:p>
        </w:tc>
        <w:tc>
          <w:tcPr>
            <w:tcW w:type="dxa" w:w="1728"/>
          </w:tcPr>
          <w:p>
            <w:r/>
            <w:r>
              <w:rPr>
                <w:rFonts w:ascii="Calibri" w:hAnsi="Calibri" w:eastAsia="等线"/>
                <w:sz w:val="19"/>
              </w:rPr>
              <w:t>0.8721</w:t>
            </w:r>
          </w:p>
        </w:tc>
        <w:tc>
          <w:tcPr>
            <w:tcW w:type="dxa" w:w="1728"/>
          </w:tcPr>
          <w:p>
            <w:r/>
            <w:r>
              <w:rPr>
                <w:rFonts w:ascii="Calibri" w:hAnsi="Calibri" w:eastAsia="等线"/>
                <w:sz w:val="19"/>
              </w:rPr>
              <w:t>0.1417</w:t>
            </w:r>
          </w:p>
        </w:tc>
        <w:tc>
          <w:tcPr>
            <w:tcW w:type="dxa" w:w="1728"/>
          </w:tcPr>
          <w:p>
            <w:r/>
            <w:r>
              <w:rPr>
                <w:rFonts w:ascii="Calibri" w:hAnsi="Calibri" w:eastAsia="等线"/>
                <w:sz w:val="19"/>
              </w:rPr>
              <w:t>0.0594</w:t>
            </w:r>
          </w:p>
        </w:tc>
      </w:tr>
      <w:tr>
        <w:tc>
          <w:tcPr>
            <w:tcW w:type="dxa" w:w="1728"/>
          </w:tcPr>
          <w:p>
            <w:r/>
            <w:r>
              <w:rPr>
                <w:rFonts w:ascii="Calibri" w:hAnsi="Calibri" w:eastAsia="等线"/>
                <w:sz w:val="19"/>
              </w:rPr>
              <w:t>5</w:t>
            </w:r>
          </w:p>
        </w:tc>
        <w:tc>
          <w:tcPr>
            <w:tcW w:type="dxa" w:w="1728"/>
          </w:tcPr>
          <w:p>
            <w:r/>
            <w:r>
              <w:rPr>
                <w:rFonts w:ascii="Calibri" w:hAnsi="Calibri" w:eastAsia="等线"/>
                <w:sz w:val="19"/>
              </w:rPr>
              <w:t>0.0006</w:t>
            </w:r>
          </w:p>
        </w:tc>
        <w:tc>
          <w:tcPr>
            <w:tcW w:type="dxa" w:w="1728"/>
          </w:tcPr>
          <w:p>
            <w:r/>
            <w:r>
              <w:rPr>
                <w:rFonts w:ascii="Calibri" w:hAnsi="Calibri" w:eastAsia="等线"/>
                <w:sz w:val="19"/>
              </w:rPr>
              <w:t>0.8115</w:t>
            </w:r>
          </w:p>
        </w:tc>
        <w:tc>
          <w:tcPr>
            <w:tcW w:type="dxa" w:w="1728"/>
          </w:tcPr>
          <w:p>
            <w:r/>
            <w:r>
              <w:rPr>
                <w:rFonts w:ascii="Calibri" w:hAnsi="Calibri" w:eastAsia="等线"/>
                <w:sz w:val="19"/>
              </w:rPr>
              <w:t>0.0805</w:t>
            </w:r>
          </w:p>
        </w:tc>
        <w:tc>
          <w:tcPr>
            <w:tcW w:type="dxa" w:w="1728"/>
          </w:tcPr>
          <w:p>
            <w:r/>
            <w:r>
              <w:rPr>
                <w:rFonts w:ascii="Calibri" w:hAnsi="Calibri" w:eastAsia="等线"/>
                <w:sz w:val="19"/>
              </w:rPr>
              <w:t>0.0654</w:t>
            </w:r>
          </w:p>
        </w:tc>
      </w:tr>
      <w:tr>
        <w:tc>
          <w:tcPr>
            <w:tcW w:type="dxa" w:w="1728"/>
          </w:tcPr>
          <w:p>
            <w:r/>
            <w:r>
              <w:rPr>
                <w:rFonts w:ascii="Calibri" w:hAnsi="Calibri" w:eastAsia="等线"/>
                <w:sz w:val="19"/>
              </w:rPr>
              <w:t>10</w:t>
            </w:r>
          </w:p>
        </w:tc>
        <w:tc>
          <w:tcPr>
            <w:tcW w:type="dxa" w:w="1728"/>
          </w:tcPr>
          <w:p>
            <w:r/>
            <w:r>
              <w:rPr>
                <w:rFonts w:ascii="Calibri" w:hAnsi="Calibri" w:eastAsia="等线"/>
                <w:sz w:val="19"/>
              </w:rPr>
              <w:t>0.0003</w:t>
            </w:r>
          </w:p>
        </w:tc>
        <w:tc>
          <w:tcPr>
            <w:tcW w:type="dxa" w:w="1728"/>
          </w:tcPr>
          <w:p>
            <w:r/>
            <w:r>
              <w:rPr>
                <w:rFonts w:ascii="Calibri" w:hAnsi="Calibri" w:eastAsia="等线"/>
                <w:sz w:val="19"/>
              </w:rPr>
              <w:t>0.5304</w:t>
            </w:r>
          </w:p>
        </w:tc>
        <w:tc>
          <w:tcPr>
            <w:tcW w:type="dxa" w:w="1728"/>
          </w:tcPr>
          <w:p>
            <w:r/>
            <w:r>
              <w:rPr>
                <w:rFonts w:ascii="Calibri" w:hAnsi="Calibri" w:eastAsia="等线"/>
                <w:sz w:val="19"/>
              </w:rPr>
              <w:t>0.0717</w:t>
            </w:r>
          </w:p>
        </w:tc>
        <w:tc>
          <w:tcPr>
            <w:tcW w:type="dxa" w:w="1728"/>
          </w:tcPr>
          <w:p>
            <w:r/>
            <w:r>
              <w:rPr>
                <w:rFonts w:ascii="Calibri" w:hAnsi="Calibri" w:eastAsia="等线"/>
                <w:sz w:val="19"/>
              </w:rPr>
              <w:t>0.0629</w:t>
            </w:r>
          </w:p>
        </w:tc>
      </w:tr>
      <w:tr>
        <w:tc>
          <w:tcPr>
            <w:tcW w:type="dxa" w:w="1728"/>
          </w:tcPr>
          <w:p>
            <w:r/>
            <w:r>
              <w:rPr>
                <w:rFonts w:ascii="Calibri" w:hAnsi="Calibri" w:eastAsia="等线"/>
                <w:sz w:val="19"/>
              </w:rPr>
              <w:t>15</w:t>
            </w:r>
          </w:p>
        </w:tc>
        <w:tc>
          <w:tcPr>
            <w:tcW w:type="dxa" w:w="1728"/>
          </w:tcPr>
          <w:p>
            <w:r/>
            <w:r>
              <w:rPr>
                <w:rFonts w:ascii="Calibri" w:hAnsi="Calibri" w:eastAsia="等线"/>
                <w:sz w:val="19"/>
              </w:rPr>
              <w:t>0.0002</w:t>
            </w:r>
          </w:p>
        </w:tc>
        <w:tc>
          <w:tcPr>
            <w:tcW w:type="dxa" w:w="1728"/>
          </w:tcPr>
          <w:p>
            <w:r/>
            <w:r>
              <w:rPr>
                <w:rFonts w:ascii="Calibri" w:hAnsi="Calibri" w:eastAsia="等线"/>
                <w:sz w:val="19"/>
              </w:rPr>
              <w:t>0.2677</w:t>
            </w:r>
          </w:p>
        </w:tc>
        <w:tc>
          <w:tcPr>
            <w:tcW w:type="dxa" w:w="1728"/>
          </w:tcPr>
          <w:p>
            <w:r/>
            <w:r>
              <w:rPr>
                <w:rFonts w:ascii="Calibri" w:hAnsi="Calibri" w:eastAsia="等线"/>
                <w:sz w:val="19"/>
              </w:rPr>
              <w:t>0.0604</w:t>
            </w:r>
          </w:p>
        </w:tc>
        <w:tc>
          <w:tcPr>
            <w:tcW w:type="dxa" w:w="1728"/>
          </w:tcPr>
          <w:p>
            <w:r/>
            <w:r>
              <w:rPr>
                <w:rFonts w:ascii="Calibri" w:hAnsi="Calibri" w:eastAsia="等线"/>
                <w:sz w:val="19"/>
              </w:rPr>
              <w:t>0.0570</w:t>
            </w:r>
          </w:p>
        </w:tc>
      </w:tr>
      <w:tr>
        <w:tc>
          <w:tcPr>
            <w:tcW w:type="dxa" w:w="1728"/>
          </w:tcPr>
          <w:p>
            <w:r/>
            <w:r>
              <w:rPr>
                <w:rFonts w:ascii="Calibri" w:hAnsi="Calibri" w:eastAsia="等线"/>
                <w:sz w:val="19"/>
              </w:rPr>
              <w:t>20</w:t>
            </w:r>
          </w:p>
        </w:tc>
        <w:tc>
          <w:tcPr>
            <w:tcW w:type="dxa" w:w="1728"/>
          </w:tcPr>
          <w:p>
            <w:r/>
            <w:r>
              <w:rPr>
                <w:rFonts w:ascii="Calibri" w:hAnsi="Calibri" w:eastAsia="等线"/>
                <w:sz w:val="19"/>
              </w:rPr>
              <w:t>0.0002</w:t>
            </w:r>
          </w:p>
        </w:tc>
        <w:tc>
          <w:tcPr>
            <w:tcW w:type="dxa" w:w="1728"/>
          </w:tcPr>
          <w:p>
            <w:r/>
            <w:r>
              <w:rPr>
                <w:rFonts w:ascii="Calibri" w:hAnsi="Calibri" w:eastAsia="等线"/>
                <w:sz w:val="19"/>
              </w:rPr>
              <w:t>0.2194</w:t>
            </w:r>
          </w:p>
        </w:tc>
        <w:tc>
          <w:tcPr>
            <w:tcW w:type="dxa" w:w="1728"/>
          </w:tcPr>
          <w:p>
            <w:r/>
            <w:r>
              <w:rPr>
                <w:rFonts w:ascii="Calibri" w:hAnsi="Calibri" w:eastAsia="等线"/>
                <w:sz w:val="19"/>
              </w:rPr>
              <w:t>0.0470</w:t>
            </w:r>
          </w:p>
        </w:tc>
        <w:tc>
          <w:tcPr>
            <w:tcW w:type="dxa" w:w="1728"/>
          </w:tcPr>
          <w:p>
            <w:r/>
            <w:r>
              <w:rPr>
                <w:rFonts w:ascii="Calibri" w:hAnsi="Calibri" w:eastAsia="等线"/>
                <w:sz w:val="19"/>
              </w:rPr>
              <w:t>0.0451</w:t>
            </w:r>
          </w:p>
        </w:tc>
      </w:tr>
    </w:tbl>
    <w:p/>
    <w:p>
      <w:r>
        <w:rPr>
          <w:rFonts w:ascii="Calibri" w:hAnsi="Calibri" w:eastAsia="等线"/>
          <w:b w:val="0"/>
          <w:i w:val="0"/>
        </w:rPr>
        <w:t>三个量在 20 轮内同步单调下降，且 K 到训练结束时仍未收敛。</w:t>
      </w:r>
    </w:p>
    <w:p>
      <w:r>
        <w:rPr>
          <w:rFonts w:ascii="Calibri" w:hAnsi="Calibri" w:eastAsia="等线"/>
          <w:b/>
          <w:i w:val="0"/>
        </w:rPr>
        <w:t>这一现象可以从损失函数直接推出。物理残差方程的两边——dθ/dt 与 ω——全部是网络的自由输出，没有任何一项来自观测数据。因此 ω = 0、K = 0、dθ/dt = 0 是方程的平凡解，残差恰为零。进一步地，ω 经 softplus 激活恒为非负，而 dθ/dt 可正可负，对于在零附近对称摆动的 dθ/dt，使残差最小的非负 ω 就是零。网络向这个方向收敛是数学上的必然。</w:t>
      </w:r>
    </w:p>
    <w:p>
      <w:r>
        <w:rPr>
          <w:rFonts w:ascii="Calibri" w:hAnsi="Calibri" w:eastAsia="等线"/>
          <w:b w:val="0"/>
          <w:i w:val="0"/>
        </w:rPr>
        <w:t>值得注意的是，论文源码将 dtheta_dt 写死为零的版本，与本复现用真实有限差分实现的版本，全局最优解完全相同，只是本复现的收敛路径更慢。</w:t>
      </w:r>
    </w:p>
    <w:p>
      <w:r>
        <w:rPr>
          <w:rFonts w:ascii="Calibri" w:hAnsi="Calibri" w:eastAsia="等线"/>
          <w:b w:val="0"/>
          <w:i w:val="0"/>
        </w:rPr>
        <w:t>这里有一处可以直接与论文对照的推论。论文报告其学到的耦合强度为：</w:t>
      </w:r>
    </w:p>
    <w:p>
      <w:pPr>
        <w:jc w:val="center"/>
      </w:pPr>
      <w:r>
        <w:rPr>
          <w:rFonts w:ascii="Cambria Math" w:hAnsi="Cambria Math" w:eastAsia="等线"/>
          <w:i/>
        </w:rPr>
        <w:t>K = 0.71 ± 0.14 —— falls precisely within the theoretical chimera regime [0.4-0.9]</w:t>
      </w:r>
    </w:p>
    <w:p>
      <w:r>
        <w:rPr>
          <w:rFonts w:ascii="Calibri" w:hAnsi="Calibri" w:eastAsia="等线"/>
          <w:b/>
          <w:i w:val="0"/>
        </w:rPr>
        <w:t>而本复现中 K 从 0.8721 一路降至 0.2194，已经落在该区间之外。换言之，正确实现这个物理损失，反而把 K 推出了论文声称找到它的那个区间。这与论文源码版本（K 同样压向零）在方向上是完全一致的。</w:t>
      </w:r>
    </w:p>
    <w:p>
      <w:pPr>
        <w:pStyle w:val="Heading1"/>
      </w:pPr>
      <w:r>
        <w:rPr>
          <w:rFonts w:ascii="Calibri" w:hAnsi="Calibri" w:eastAsia="微软雅黑"/>
          <w:color w:val="1F3564"/>
        </w:rPr>
        <w:t>七、Kuramoto 假设的检验（本工作的主要发现）</w:t>
      </w:r>
    </w:p>
    <w:p>
      <w:r>
        <w:rPr>
          <w:rFonts w:ascii="Calibri" w:hAnsi="Calibri" w:eastAsia="等线"/>
          <w:b w:val="0"/>
          <w:i w:val="0"/>
        </w:rPr>
        <w:t>第六节说明的是实现层面的问题。但即便把 dtheta_dt 正确实现，物理损失能否起作用，还取决于一个更基本的前提：观测到的相位是否真的服从 Kuramoto 动力学。如果数据本身不服从该方程，那么把网络约束到方程上只会得到更差的拟合。本节对此做了直接检验。</w:t>
      </w:r>
    </w:p>
    <w:p>
      <w:r>
        <w:rPr>
          <w:rFonts w:ascii="Calibri" w:hAnsi="Calibri" w:eastAsia="等线"/>
          <w:b/>
          <w:i w:val="0"/>
        </w:rPr>
        <w:t>7.1 检验方法</w:t>
      </w:r>
    </w:p>
    <w:p>
      <w:r>
        <w:rPr>
          <w:rFonts w:ascii="Calibri" w:hAnsi="Calibri" w:eastAsia="等线"/>
          <w:b w:val="0"/>
          <w:i w:val="0"/>
        </w:rPr>
        <w:t>对真实脑电信号提取 Hilbert 相位后，按最小二乘拟合完整的 Kuramoto 方程：</w:t>
      </w:r>
    </w:p>
    <w:p>
      <w:pPr>
        <w:jc w:val="center"/>
      </w:pPr>
      <w:r>
        <w:rPr>
          <w:rFonts w:ascii="Cambria Math" w:hAnsi="Cambria Math" w:eastAsia="等线"/>
          <w:i/>
        </w:rPr>
        <w:t>Δθ_i = ω_i·Δt + K·Δt·Σ_j sin( θ_j − θ_i − α )</w:t>
      </w:r>
    </w:p>
    <w:p>
      <w:r>
        <w:rPr>
          <w:rFonts w:ascii="Calibri" w:hAnsi="Calibri" w:eastAsia="等线"/>
          <w:b w:val="0"/>
          <w:i w:val="0"/>
        </w:rPr>
        <w:t>其中 α 为相位延迟。论文将该参数限制在 [0, π/2] 并报告其学习值为 0.28 rad，但未给出与本检验可比的拟合设定，因此本复现对 α 在 [−π, π] 上扫描 25 个值，取统计量最大的一个（这对原假设最有利）。评价指标为耦合项带来的残差方差降幅——即该方程能解释多少相位演化。</w:t>
      </w:r>
    </w:p>
    <w:p>
      <w:r>
        <w:rPr>
          <w:rFonts w:ascii="Calibri" w:hAnsi="Calibri" w:eastAsia="等线"/>
          <w:b w:val="0"/>
          <w:i w:val="0"/>
        </w:rPr>
        <w:t>需要说明检验的技术细节：相位必须在整段信号上 unwrap 后再按窗口采样，否则 6 Hz 振子在 5 秒内累积约 30 个周期，差分取模后会丢失全部频率信息。本复现最初的两次检验设计（逐窗取圆均值、以及用常数模型计算 R²）均存在此类缺陷，最终结果以下表为准。</w:t>
      </w:r>
    </w:p>
    <w:p>
      <w:r>
        <w:rPr>
          <w:rFonts w:ascii="Calibri" w:hAnsi="Calibri" w:eastAsia="等线"/>
          <w:b/>
          <w:i w:val="0"/>
        </w:rPr>
        <w:t>7.2 检验结果</w:t>
      </w:r>
    </w:p>
    <w:p>
      <w:r>
        <w:rPr>
          <w:rFonts w:ascii="Calibri" w:hAnsi="Calibri" w:eastAsia="等线"/>
          <w:b w:val="0"/>
          <w:i w:val="0"/>
        </w:rPr>
        <w:t>在 chb01 全部 42 个文件上，按脑状态分别拟合：</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Calibri" w:hAnsi="Calibri" w:eastAsia="等线"/>
                <w:b/>
                <w:sz w:val="19"/>
              </w:rPr>
              <w:t>状态</w:t>
            </w:r>
          </w:p>
        </w:tc>
        <w:tc>
          <w:tcPr>
            <w:tcW w:type="dxa" w:w="1728"/>
          </w:tcPr>
          <w:p>
            <w:r/>
            <w:r>
              <w:rPr>
                <w:rFonts w:ascii="Calibri" w:hAnsi="Calibri" w:eastAsia="等线"/>
                <w:b/>
                <w:sz w:val="19"/>
              </w:rPr>
              <w:t>窗口数</w:t>
            </w:r>
          </w:p>
        </w:tc>
        <w:tc>
          <w:tcPr>
            <w:tcW w:type="dxa" w:w="1728"/>
          </w:tcPr>
          <w:p>
            <w:r/>
            <w:r>
              <w:rPr>
                <w:rFonts w:ascii="Calibri" w:hAnsi="Calibri" w:eastAsia="等线"/>
                <w:b/>
                <w:sz w:val="19"/>
              </w:rPr>
              <w:t>未滤波</w:t>
            </w:r>
          </w:p>
        </w:tc>
        <w:tc>
          <w:tcPr>
            <w:tcW w:type="dxa" w:w="1728"/>
          </w:tcPr>
          <w:p>
            <w:r/>
            <w:r>
              <w:rPr>
                <w:rFonts w:ascii="Calibri" w:hAnsi="Calibri" w:eastAsia="等线"/>
                <w:b/>
                <w:sz w:val="19"/>
              </w:rPr>
              <w:t>theta (4-8 Hz)</w:t>
            </w:r>
          </w:p>
        </w:tc>
        <w:tc>
          <w:tcPr>
            <w:tcW w:type="dxa" w:w="1728"/>
          </w:tcPr>
          <w:p>
            <w:r/>
            <w:r>
              <w:rPr>
                <w:rFonts w:ascii="Calibri" w:hAnsi="Calibri" w:eastAsia="等线"/>
                <w:b/>
                <w:sz w:val="19"/>
              </w:rPr>
              <w:t>alpha (8-13 Hz)</w:t>
            </w:r>
          </w:p>
        </w:tc>
      </w:tr>
      <w:tr>
        <w:tc>
          <w:tcPr>
            <w:tcW w:type="dxa" w:w="1728"/>
          </w:tcPr>
          <w:p>
            <w:r/>
            <w:r>
              <w:rPr>
                <w:rFonts w:ascii="Calibri" w:hAnsi="Calibri" w:eastAsia="等线"/>
                <w:sz w:val="19"/>
              </w:rPr>
              <w:t>发作间期</w:t>
            </w:r>
          </w:p>
        </w:tc>
        <w:tc>
          <w:tcPr>
            <w:tcW w:type="dxa" w:w="1728"/>
          </w:tcPr>
          <w:p>
            <w:r/>
            <w:r>
              <w:rPr>
                <w:rFonts w:ascii="Calibri" w:hAnsi="Calibri" w:eastAsia="等线"/>
                <w:sz w:val="19"/>
              </w:rPr>
              <w:t>27087</w:t>
            </w:r>
          </w:p>
        </w:tc>
        <w:tc>
          <w:tcPr>
            <w:tcW w:type="dxa" w:w="1728"/>
          </w:tcPr>
          <w:p>
            <w:r/>
            <w:r>
              <w:rPr>
                <w:rFonts w:ascii="Calibri" w:hAnsi="Calibri" w:eastAsia="等线"/>
                <w:sz w:val="19"/>
              </w:rPr>
              <w:t>|t|=4.46  降幅 0.00%</w:t>
            </w:r>
          </w:p>
        </w:tc>
        <w:tc>
          <w:tcPr>
            <w:tcW w:type="dxa" w:w="1728"/>
          </w:tcPr>
          <w:p>
            <w:r/>
            <w:r>
              <w:rPr>
                <w:rFonts w:ascii="Calibri" w:hAnsi="Calibri" w:eastAsia="等线"/>
                <w:sz w:val="19"/>
              </w:rPr>
              <w:t>|t|=1.71  降幅 0.01%</w:t>
            </w:r>
          </w:p>
        </w:tc>
        <w:tc>
          <w:tcPr>
            <w:tcW w:type="dxa" w:w="1728"/>
          </w:tcPr>
          <w:p>
            <w:r/>
            <w:r>
              <w:rPr>
                <w:rFonts w:ascii="Calibri" w:hAnsi="Calibri" w:eastAsia="等线"/>
                <w:sz w:val="19"/>
              </w:rPr>
              <w:t>|t|=2.45  降幅 0.00%</w:t>
            </w:r>
          </w:p>
        </w:tc>
      </w:tr>
      <w:tr>
        <w:tc>
          <w:tcPr>
            <w:tcW w:type="dxa" w:w="1728"/>
          </w:tcPr>
          <w:p>
            <w:r/>
            <w:r>
              <w:rPr>
                <w:rFonts w:ascii="Calibri" w:hAnsi="Calibri" w:eastAsia="等线"/>
                <w:sz w:val="19"/>
              </w:rPr>
              <w:t>发作前期</w:t>
            </w:r>
          </w:p>
        </w:tc>
        <w:tc>
          <w:tcPr>
            <w:tcW w:type="dxa" w:w="1728"/>
          </w:tcPr>
          <w:p>
            <w:r/>
            <w:r>
              <w:rPr>
                <w:rFonts w:ascii="Calibri" w:hAnsi="Calibri" w:eastAsia="等线"/>
                <w:sz w:val="19"/>
              </w:rPr>
              <w:t>1964</w:t>
            </w:r>
          </w:p>
        </w:tc>
        <w:tc>
          <w:tcPr>
            <w:tcW w:type="dxa" w:w="1728"/>
          </w:tcPr>
          <w:p>
            <w:r/>
            <w:r>
              <w:rPr>
                <w:rFonts w:ascii="Calibri" w:hAnsi="Calibri" w:eastAsia="等线"/>
                <w:sz w:val="19"/>
              </w:rPr>
              <w:t>|t|=1.27  降幅 0.03%</w:t>
            </w:r>
          </w:p>
        </w:tc>
        <w:tc>
          <w:tcPr>
            <w:tcW w:type="dxa" w:w="1728"/>
          </w:tcPr>
          <w:p>
            <w:r/>
            <w:r>
              <w:rPr>
                <w:rFonts w:ascii="Calibri" w:hAnsi="Calibri" w:eastAsia="等线"/>
                <w:sz w:val="19"/>
              </w:rPr>
              <w:t>|t|=0.69  降幅 0.00%</w:t>
            </w:r>
          </w:p>
        </w:tc>
        <w:tc>
          <w:tcPr>
            <w:tcW w:type="dxa" w:w="1728"/>
          </w:tcPr>
          <w:p>
            <w:r/>
            <w:r>
              <w:rPr>
                <w:rFonts w:ascii="Calibri" w:hAnsi="Calibri" w:eastAsia="等线"/>
                <w:sz w:val="19"/>
              </w:rPr>
              <w:t>|t|=1.19  降幅 0.05%</w:t>
            </w:r>
          </w:p>
        </w:tc>
      </w:tr>
      <w:tr>
        <w:tc>
          <w:tcPr>
            <w:tcW w:type="dxa" w:w="1728"/>
          </w:tcPr>
          <w:p>
            <w:r/>
            <w:r>
              <w:rPr>
                <w:rFonts w:ascii="Calibri" w:hAnsi="Calibri" w:eastAsia="等线"/>
                <w:sz w:val="19"/>
              </w:rPr>
              <w:t>发作期</w:t>
            </w:r>
          </w:p>
        </w:tc>
        <w:tc>
          <w:tcPr>
            <w:tcW w:type="dxa" w:w="1728"/>
          </w:tcPr>
          <w:p>
            <w:r/>
            <w:r>
              <w:rPr>
                <w:rFonts w:ascii="Calibri" w:hAnsi="Calibri" w:eastAsia="等线"/>
                <w:sz w:val="19"/>
              </w:rPr>
              <w:t>88</w:t>
            </w:r>
          </w:p>
        </w:tc>
        <w:tc>
          <w:tcPr>
            <w:tcW w:type="dxa" w:w="1728"/>
          </w:tcPr>
          <w:p>
            <w:r/>
            <w:r>
              <w:rPr>
                <w:rFonts w:ascii="Calibri" w:hAnsi="Calibri" w:eastAsia="等线"/>
                <w:sz w:val="19"/>
              </w:rPr>
              <w:t>|t|=0.72  降幅 0.17%</w:t>
            </w:r>
          </w:p>
        </w:tc>
        <w:tc>
          <w:tcPr>
            <w:tcW w:type="dxa" w:w="1728"/>
          </w:tcPr>
          <w:p>
            <w:r/>
            <w:r>
              <w:rPr>
                <w:rFonts w:ascii="Calibri" w:hAnsi="Calibri" w:eastAsia="等线"/>
                <w:sz w:val="19"/>
              </w:rPr>
              <w:t>|t|=1.01  降幅 0.04%</w:t>
            </w:r>
          </w:p>
        </w:tc>
        <w:tc>
          <w:tcPr>
            <w:tcW w:type="dxa" w:w="1728"/>
          </w:tcPr>
          <w:p>
            <w:r/>
            <w:r>
              <w:rPr>
                <w:rFonts w:ascii="Calibri" w:hAnsi="Calibri" w:eastAsia="等线"/>
                <w:sz w:val="19"/>
              </w:rPr>
              <w:t>|t|=1.11  降幅 1.55%</w:t>
            </w:r>
          </w:p>
        </w:tc>
      </w:tr>
    </w:tbl>
    <w:p/>
    <w:p>
      <w:r>
        <w:rPr>
          <w:rFonts w:ascii="Calibri" w:hAnsi="Calibri" w:eastAsia="等线"/>
          <w:b w:val="0"/>
          <w:i w:val="0"/>
        </w:rPr>
        <w:t>（"降幅"指加入耦合项后残差方差的下降比例）</w:t>
      </w:r>
    </w:p>
    <w:p>
      <w:r>
        <w:rPr>
          <w:rFonts w:ascii="Calibri" w:hAnsi="Calibri" w:eastAsia="等线"/>
          <w:b/>
          <w:i w:val="0"/>
        </w:rPr>
        <w:t>7.3 结论</w:t>
      </w:r>
    </w:p>
    <w:p>
      <w:r>
        <w:rPr>
          <w:rFonts w:ascii="Calibri" w:hAnsi="Calibri" w:eastAsia="等线"/>
          <w:b w:val="0"/>
          <w:i w:val="0"/>
        </w:rPr>
        <w:t>关键指标是降幅而非 |t|。发作间期一列出现了 |t| = 4.46 的"显著"结果，但它对应的方差解释率是 0.00%——在 27087 个样本下，任何微小的非零效应都会达到统计显著。这是统计显著与实际显著分离的典型情形。</w:t>
      </w:r>
    </w:p>
    <w:p>
      <w:r>
        <w:rPr>
          <w:rFonts w:ascii="Calibri" w:hAnsi="Calibri" w:eastAsia="等线"/>
          <w:b w:val="0"/>
          <w:i w:val="0"/>
        </w:rPr>
        <w:t>把三个脑状态分开检验，是因为癫痫发作本身是一种同步现象，Kuramoto 模型在发作期最有可能成立，这是对本假设最有利的情形。结果显示发作期的方差解释率最高为 1.55%（alpha 频带），且该状态的窗口数仅 88 个（7 次发作合计 7.9 分钟），样本量过小。</w:t>
      </w:r>
    </w:p>
    <w:p>
      <w:r>
        <w:rPr>
          <w:rFonts w:ascii="Calibri" w:hAnsi="Calibri" w:eastAsia="等线"/>
          <w:b/>
          <w:i w:val="0"/>
        </w:rPr>
        <w:t>据此可以判断：在 5 秒窗这一时间粒度上，观测到的 Hilbert 相位不服从 Kuramoto 动力学。因此本复现没有为物理损失增加观测锚定——把网络约束到一个数据不遵守的方程上，不会产生有效约束。</w:t>
      </w:r>
    </w:p>
    <w:p>
      <w:pPr>
        <w:pStyle w:val="Heading1"/>
      </w:pPr>
      <w:r>
        <w:rPr>
          <w:rFonts w:ascii="Calibri" w:hAnsi="Calibri" w:eastAsia="微软雅黑"/>
          <w:color w:val="1F3564"/>
        </w:rPr>
        <w:t>八、事件级评估</w:t>
      </w:r>
    </w:p>
    <w:p>
      <w:r>
        <w:rPr>
          <w:rFonts w:ascii="Calibri" w:hAnsi="Calibri" w:eastAsia="等线"/>
          <w:b/>
          <w:i w:val="0"/>
        </w:rPr>
        <w:t>8.1 评估规则</w:t>
      </w:r>
    </w:p>
    <w:p>
      <w:r>
        <w:rPr>
          <w:rFonts w:ascii="Calibri" w:hAnsi="Calibri" w:eastAsia="等线"/>
          <w:b w:val="0"/>
          <w:i w:val="0"/>
        </w:rPr>
        <w:t>逐窗预测需经后处理才能得到报警。本复现采用以下规则，所有阈值在评估前确定：</w:t>
      </w:r>
    </w:p>
    <w:p>
      <w:pPr>
        <w:pStyle w:val="ListBullet"/>
        <w:ind w:left="360"/>
      </w:pPr>
      <w:r>
        <w:rPr>
          <w:rFonts w:ascii="Calibri" w:hAnsi="Calibri" w:eastAsia="等线"/>
        </w:rPr>
        <w:t>触发条件：任意窗口被预测为类1（发作前期）</w:t>
      </w:r>
    </w:p>
    <w:p>
      <w:pPr>
        <w:pStyle w:val="ListBullet"/>
        <w:ind w:left="360"/>
      </w:pPr>
      <w:r>
        <w:rPr>
          <w:rFonts w:ascii="Calibri" w:hAnsi="Calibri" w:eastAsia="等线"/>
        </w:rPr>
        <w:t>去抖：容忍 2 个窗口（10 秒）的断点，连续第 3 个非触发窗口才关闭本次报警</w:t>
      </w:r>
    </w:p>
    <w:p>
      <w:pPr>
        <w:pStyle w:val="ListBullet"/>
        <w:ind w:left="360"/>
      </w:pPr>
      <w:r>
        <w:rPr>
          <w:rFonts w:ascii="Calibri" w:hAnsi="Calibri" w:eastAsia="等线"/>
        </w:rPr>
        <w:t>不应期：30 分钟。不应期内的后续触发不重复报警</w:t>
      </w:r>
    </w:p>
    <w:p>
      <w:pPr>
        <w:pStyle w:val="ListBullet"/>
        <w:ind w:left="360"/>
      </w:pPr>
      <w:r>
        <w:rPr>
          <w:rFonts w:ascii="Calibri" w:hAnsi="Calibri" w:eastAsia="等线"/>
        </w:rPr>
        <w:t>命中判据：报警起始时刻落在发作前 30 分钟窗口内</w:t>
      </w:r>
    </w:p>
    <w:p>
      <w:r>
        <w:rPr>
          <w:rFonts w:ascii="Calibri" w:hAnsi="Calibri" w:eastAsia="等线"/>
          <w:b/>
          <w:i w:val="0"/>
        </w:rPr>
        <w:t>8.2 结果</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eastAsia="等线"/>
                <w:b/>
                <w:sz w:val="19"/>
              </w:rPr>
              <w:t>指标</w:t>
            </w:r>
          </w:p>
        </w:tc>
        <w:tc>
          <w:tcPr>
            <w:tcW w:type="dxa" w:w="2880"/>
          </w:tcPr>
          <w:p>
            <w:r/>
            <w:r>
              <w:rPr>
                <w:rFonts w:ascii="Calibri" w:hAnsi="Calibri" w:eastAsia="等线"/>
                <w:b/>
                <w:sz w:val="19"/>
              </w:rPr>
              <w:t>本复现</w:t>
            </w:r>
          </w:p>
        </w:tc>
        <w:tc>
          <w:tcPr>
            <w:tcW w:type="dxa" w:w="2880"/>
          </w:tcPr>
          <w:p>
            <w:r/>
            <w:r>
              <w:rPr>
                <w:rFonts w:ascii="Calibri" w:hAnsi="Calibri" w:eastAsia="等线"/>
                <w:b/>
                <w:sz w:val="19"/>
              </w:rPr>
              <w:t>论文报告</w:t>
            </w:r>
          </w:p>
        </w:tc>
      </w:tr>
      <w:tr>
        <w:tc>
          <w:tcPr>
            <w:tcW w:type="dxa" w:w="2880"/>
          </w:tcPr>
          <w:p>
            <w:r/>
            <w:r>
              <w:rPr>
                <w:rFonts w:ascii="Calibri" w:hAnsi="Calibri" w:eastAsia="等线"/>
                <w:sz w:val="19"/>
              </w:rPr>
              <w:t>测试文件数</w:t>
            </w:r>
          </w:p>
        </w:tc>
        <w:tc>
          <w:tcPr>
            <w:tcW w:type="dxa" w:w="2880"/>
          </w:tcPr>
          <w:p>
            <w:r/>
            <w:r>
              <w:rPr>
                <w:rFonts w:ascii="Calibri" w:hAnsi="Calibri" w:eastAsia="等线"/>
                <w:sz w:val="19"/>
              </w:rPr>
              <w:t>9</w:t>
            </w:r>
          </w:p>
        </w:tc>
        <w:tc>
          <w:tcPr>
            <w:tcW w:type="dxa" w:w="2880"/>
          </w:tcPr>
          <w:p>
            <w:r/>
            <w:r>
              <w:rPr>
                <w:rFonts w:ascii="Calibri" w:hAnsi="Calibri" w:eastAsia="等线"/>
                <w:sz w:val="19"/>
              </w:rPr>
              <w:t>—</w:t>
            </w:r>
          </w:p>
        </w:tc>
      </w:tr>
      <w:tr>
        <w:tc>
          <w:tcPr>
            <w:tcW w:type="dxa" w:w="2880"/>
          </w:tcPr>
          <w:p>
            <w:r/>
            <w:r>
              <w:rPr>
                <w:rFonts w:ascii="Calibri" w:hAnsi="Calibri" w:eastAsia="等线"/>
                <w:sz w:val="19"/>
              </w:rPr>
              <w:t>测试总时长</w:t>
            </w:r>
          </w:p>
        </w:tc>
        <w:tc>
          <w:tcPr>
            <w:tcW w:type="dxa" w:w="2880"/>
          </w:tcPr>
          <w:p>
            <w:r/>
            <w:r>
              <w:rPr>
                <w:rFonts w:ascii="Calibri" w:hAnsi="Calibri" w:eastAsia="等线"/>
                <w:sz w:val="19"/>
              </w:rPr>
              <w:t>8.65 小时</w:t>
            </w:r>
          </w:p>
        </w:tc>
        <w:tc>
          <w:tcPr>
            <w:tcW w:type="dxa" w:w="2880"/>
          </w:tcPr>
          <w:p>
            <w:r/>
            <w:r>
              <w:rPr>
                <w:rFonts w:ascii="Calibri" w:hAnsi="Calibri" w:eastAsia="等线"/>
                <w:sz w:val="19"/>
              </w:rPr>
              <w:t>—</w:t>
            </w:r>
          </w:p>
        </w:tc>
      </w:tr>
      <w:tr>
        <w:tc>
          <w:tcPr>
            <w:tcW w:type="dxa" w:w="2880"/>
          </w:tcPr>
          <w:p>
            <w:r/>
            <w:r>
              <w:rPr>
                <w:rFonts w:ascii="Calibri" w:hAnsi="Calibri" w:eastAsia="等线"/>
                <w:sz w:val="19"/>
              </w:rPr>
              <w:t>发作次数</w:t>
            </w:r>
          </w:p>
        </w:tc>
        <w:tc>
          <w:tcPr>
            <w:tcW w:type="dxa" w:w="2880"/>
          </w:tcPr>
          <w:p>
            <w:r/>
            <w:r>
              <w:rPr>
                <w:rFonts w:ascii="Calibri" w:hAnsi="Calibri" w:eastAsia="等线"/>
                <w:sz w:val="19"/>
              </w:rPr>
              <w:t>3</w:t>
            </w:r>
          </w:p>
        </w:tc>
        <w:tc>
          <w:tcPr>
            <w:tcW w:type="dxa" w:w="2880"/>
          </w:tcPr>
          <w:p>
            <w:r/>
            <w:r>
              <w:rPr>
                <w:rFonts w:ascii="Calibri" w:hAnsi="Calibri" w:eastAsia="等线"/>
                <w:sz w:val="19"/>
              </w:rPr>
              <w:t>—</w:t>
            </w:r>
          </w:p>
        </w:tc>
      </w:tr>
      <w:tr>
        <w:tc>
          <w:tcPr>
            <w:tcW w:type="dxa" w:w="2880"/>
          </w:tcPr>
          <w:p>
            <w:r/>
            <w:r>
              <w:rPr>
                <w:rFonts w:ascii="Calibri" w:hAnsi="Calibri" w:eastAsia="等线"/>
                <w:sz w:val="19"/>
              </w:rPr>
              <w:t>报警总次数</w:t>
            </w:r>
          </w:p>
        </w:tc>
        <w:tc>
          <w:tcPr>
            <w:tcW w:type="dxa" w:w="2880"/>
          </w:tcPr>
          <w:p>
            <w:r/>
            <w:r>
              <w:rPr>
                <w:rFonts w:ascii="Calibri" w:hAnsi="Calibri" w:eastAsia="等线"/>
                <w:sz w:val="19"/>
              </w:rPr>
              <w:t>8</w:t>
            </w:r>
          </w:p>
        </w:tc>
        <w:tc>
          <w:tcPr>
            <w:tcW w:type="dxa" w:w="2880"/>
          </w:tcPr>
          <w:p>
            <w:r/>
            <w:r>
              <w:rPr>
                <w:rFonts w:ascii="Calibri" w:hAnsi="Calibri" w:eastAsia="等线"/>
                <w:sz w:val="19"/>
              </w:rPr>
              <w:t>—</w:t>
            </w:r>
          </w:p>
        </w:tc>
      </w:tr>
      <w:tr>
        <w:tc>
          <w:tcPr>
            <w:tcW w:type="dxa" w:w="2880"/>
          </w:tcPr>
          <w:p>
            <w:r/>
            <w:r>
              <w:rPr>
                <w:rFonts w:ascii="Calibri" w:hAnsi="Calibri" w:eastAsia="等线"/>
                <w:sz w:val="19"/>
              </w:rPr>
              <w:t>灵敏度</w:t>
            </w:r>
          </w:p>
        </w:tc>
        <w:tc>
          <w:tcPr>
            <w:tcW w:type="dxa" w:w="2880"/>
          </w:tcPr>
          <w:p>
            <w:r/>
            <w:r>
              <w:rPr>
                <w:rFonts w:ascii="Calibri" w:hAnsi="Calibri" w:eastAsia="等线"/>
                <w:sz w:val="19"/>
              </w:rPr>
              <w:t>3/3</w:t>
            </w:r>
          </w:p>
        </w:tc>
        <w:tc>
          <w:tcPr>
            <w:tcW w:type="dxa" w:w="2880"/>
          </w:tcPr>
          <w:p>
            <w:r/>
            <w:r>
              <w:rPr>
                <w:rFonts w:ascii="Calibri" w:hAnsi="Calibri" w:eastAsia="等线"/>
                <w:sz w:val="19"/>
              </w:rPr>
              <w:t>89.3%</w:t>
            </w:r>
          </w:p>
        </w:tc>
      </w:tr>
      <w:tr>
        <w:tc>
          <w:tcPr>
            <w:tcW w:type="dxa" w:w="2880"/>
          </w:tcPr>
          <w:p>
            <w:r/>
            <w:r>
              <w:rPr>
                <w:rFonts w:ascii="Calibri" w:hAnsi="Calibri" w:eastAsia="等线"/>
                <w:sz w:val="19"/>
              </w:rPr>
              <w:t>误报率（排除发作前窗口）</w:t>
            </w:r>
          </w:p>
        </w:tc>
        <w:tc>
          <w:tcPr>
            <w:tcW w:type="dxa" w:w="2880"/>
          </w:tcPr>
          <w:p>
            <w:r/>
            <w:r>
              <w:rPr>
                <w:rFonts w:ascii="Calibri" w:hAnsi="Calibri" w:eastAsia="等线"/>
                <w:sz w:val="19"/>
              </w:rPr>
              <w:t>0.64 次/小时</w:t>
            </w:r>
          </w:p>
        </w:tc>
        <w:tc>
          <w:tcPr>
            <w:tcW w:type="dxa" w:w="2880"/>
          </w:tcPr>
          <w:p>
            <w:r/>
            <w:r>
              <w:rPr>
                <w:rFonts w:ascii="Calibri" w:hAnsi="Calibri" w:eastAsia="等线"/>
                <w:sz w:val="19"/>
              </w:rPr>
              <w:t>0.48 次/小时</w:t>
            </w:r>
          </w:p>
        </w:tc>
      </w:tr>
      <w:tr>
        <w:tc>
          <w:tcPr>
            <w:tcW w:type="dxa" w:w="2880"/>
          </w:tcPr>
          <w:p>
            <w:r/>
            <w:r>
              <w:rPr>
                <w:rFonts w:ascii="Calibri" w:hAnsi="Calibri" w:eastAsia="等线"/>
                <w:sz w:val="19"/>
              </w:rPr>
              <w:t>误报率（再排除发作中与发作后）</w:t>
            </w:r>
          </w:p>
        </w:tc>
        <w:tc>
          <w:tcPr>
            <w:tcW w:type="dxa" w:w="2880"/>
          </w:tcPr>
          <w:p>
            <w:r/>
            <w:r>
              <w:rPr>
                <w:rFonts w:ascii="Calibri" w:hAnsi="Calibri" w:eastAsia="等线"/>
                <w:sz w:val="19"/>
              </w:rPr>
              <w:t>0.45 次/小时</w:t>
            </w:r>
          </w:p>
        </w:tc>
        <w:tc>
          <w:tcPr>
            <w:tcW w:type="dxa" w:w="2880"/>
          </w:tcPr>
          <w:p>
            <w:r/>
            <w:r>
              <w:rPr>
                <w:rFonts w:ascii="Calibri" w:hAnsi="Calibri" w:eastAsia="等线"/>
                <w:sz w:val="19"/>
              </w:rPr>
              <w:t>0.48 次/小时</w:t>
            </w:r>
          </w:p>
        </w:tc>
      </w:tr>
    </w:tbl>
    <w:p/>
    <w:p>
      <w:r>
        <w:rPr>
          <w:rFonts w:ascii="Calibri" w:hAnsi="Calibri" w:eastAsia="等线"/>
          <w:b/>
          <w:i w:val="0"/>
        </w:rPr>
        <w:t>8.3 对 100% 灵敏度的说明</w:t>
      </w:r>
    </w:p>
    <w:p>
      <w:r>
        <w:rPr>
          <w:rFonts w:ascii="Calibri" w:hAnsi="Calibri" w:eastAsia="等线"/>
          <w:b/>
          <w:i w:val="0"/>
        </w:rPr>
        <w:t>本复现得到 3/3 的灵敏度，但这一结果不具备判别力，不应被表述为"复现了论文的预测能力"。理由如下：</w:t>
      </w:r>
    </w:p>
    <w:p>
      <w:pPr>
        <w:pStyle w:val="ListBullet"/>
        <w:ind w:left="360"/>
      </w:pPr>
      <w:r>
        <w:rPr>
          <w:rFonts w:ascii="Calibri" w:hAnsi="Calibri" w:eastAsia="等线"/>
        </w:rPr>
        <w:t>模型的类1误报率为 7.5%——在 4692 条正常序列中，有 353 条被判为发作前期。</w:t>
      </w:r>
    </w:p>
    <w:p>
      <w:pPr>
        <w:pStyle w:val="ListBullet"/>
        <w:ind w:left="360"/>
      </w:pPr>
      <w:r>
        <w:rPr>
          <w:rFonts w:ascii="Calibri" w:hAnsi="Calibri" w:eastAsia="等线"/>
        </w:rPr>
        <w:t>单次发作的预测窗口为 30 分钟，包含约 360 条序列。在 7.5% 的误报率下，窗口内至少出现一次触发的概率接近 1。</w:t>
      </w:r>
    </w:p>
    <w:p>
      <w:pPr>
        <w:pStyle w:val="ListBullet"/>
        <w:ind w:left="360"/>
      </w:pPr>
      <w:r>
        <w:rPr>
          <w:rFonts w:ascii="Calibri" w:hAnsi="Calibri" w:eastAsia="等线"/>
        </w:rPr>
        <w:t>换句话说，3/3 是在高误报率下几乎必然发生的事件，而非预测能力的证据。</w:t>
      </w:r>
    </w:p>
    <w:p>
      <w:r>
        <w:rPr>
          <w:rFonts w:ascii="Calibri" w:hAnsi="Calibri" w:eastAsia="等线"/>
          <w:b w:val="0"/>
          <w:i w:val="0"/>
        </w:rPr>
        <w:t>与之相对，误报率才是有判别力的指标：本复现 0.64 次/小时，与论文的 0.48 次/小时处于同一量级，略高。</w:t>
      </w:r>
    </w:p>
    <w:p>
      <w:pPr>
        <w:pStyle w:val="Heading1"/>
      </w:pPr>
      <w:r>
        <w:rPr>
          <w:rFonts w:ascii="Calibri" w:hAnsi="Calibri" w:eastAsia="微软雅黑"/>
          <w:color w:val="1F3564"/>
        </w:rPr>
        <w:t>九、讨论与局限</w:t>
      </w:r>
    </w:p>
    <w:p>
      <w:r>
        <w:rPr>
          <w:rFonts w:ascii="Calibri" w:hAnsi="Calibri" w:eastAsia="等线"/>
          <w:b/>
          <w:i w:val="0"/>
        </w:rPr>
        <w:t>9.1 复现的主要障碍</w:t>
      </w:r>
    </w:p>
    <w:p>
      <w:r>
        <w:rPr>
          <w:rFonts w:ascii="Calibri" w:hAnsi="Calibri" w:eastAsia="等线"/>
          <w:b w:val="0"/>
          <w:i w:val="0"/>
        </w:rPr>
        <w:t>本次复现耗时最多的部分不是模型本身，而是补全论文缺失的数据管线。code_2 的缺失使「Hilbert 相位 → PLV → 超边」这一段完全需要自行设计，其中通道对齐方式、窗口标签定义等关键参数论文均未给出；τ 阈值论文虽给出（0.65），但按本复现的流程会导致超边过少，不得不改为 0.55。这意味着本复现得到的数值结果与论文之间，除了实现差异之外，还存在参数选择上的偏离。</w:t>
      </w:r>
    </w:p>
    <w:p>
      <w:r>
        <w:rPr>
          <w:rFonts w:ascii="Calibri" w:hAnsi="Calibri" w:eastAsia="等线"/>
          <w:b/>
          <w:i w:val="0"/>
        </w:rPr>
        <w:t>9.2 局限性</w:t>
      </w:r>
    </w:p>
    <w:p>
      <w:pPr>
        <w:pStyle w:val="ListBullet"/>
        <w:ind w:left="360"/>
      </w:pPr>
      <w:r>
        <w:rPr>
          <w:rFonts w:ascii="Calibri" w:hAnsi="Calibri" w:eastAsia="等线"/>
        </w:rPr>
        <w:t>单患者。仅使用 chb01，测试集仅 3 次发作。事件级指标的 95% 置信区间约为 [30%, 100%]，无法与论文的 89.3% 做统计比较。</w:t>
      </w:r>
    </w:p>
    <w:p>
      <w:pPr>
        <w:pStyle w:val="ListBullet"/>
        <w:ind w:left="360"/>
      </w:pPr>
      <w:r>
        <w:rPr>
          <w:rFonts w:ascii="Calibri" w:hAnsi="Calibri" w:eastAsia="等线"/>
        </w:rPr>
        <w:t>误报率受后处理规则影响很大。模型原始触发 745 条序列，0.64 次/小时这个数字是被 30 分钟不应期压制后的结果，更换规则会得到不同数值。</w:t>
      </w:r>
    </w:p>
    <w:p>
      <w:pPr>
        <w:pStyle w:val="ListBullet"/>
        <w:ind w:left="360"/>
      </w:pPr>
      <w:r>
        <w:rPr>
          <w:rFonts w:ascii="Calibri" w:hAnsi="Calibri" w:eastAsia="等线"/>
        </w:rPr>
        <w:t>存在已知的类别混淆。8 次报警中有 2 次紧跟在真实发作后 1 分钟内，源于类1（发作前期）与类3（发作期）之间的双向混淆。</w:t>
      </w:r>
    </w:p>
    <w:p>
      <w:pPr>
        <w:pStyle w:val="ListBullet"/>
        <w:ind w:left="360"/>
      </w:pPr>
      <w:r>
        <w:rPr>
          <w:rFonts w:ascii="Calibri" w:hAnsi="Calibri" w:eastAsia="等线"/>
        </w:rPr>
        <w:t>时序模型以 GRU 替代了论文的 Mamba，超图卷积的具体形式也可能与论文存在差异。</w:t>
      </w:r>
    </w:p>
    <w:p>
      <w:pPr>
        <w:pStyle w:val="ListBullet"/>
        <w:ind w:left="360"/>
      </w:pPr>
      <w:r>
        <w:rPr>
          <w:rFonts w:ascii="Calibri" w:hAnsi="Calibri" w:eastAsia="等线"/>
        </w:rPr>
        <w:t>Kuramoto 检验仅在 5 秒窗粒度上完成，且仅覆盖 chb01。更细时间尺度上该方程是否成立，本工作未做检验。</w:t>
      </w:r>
    </w:p>
    <w:p>
      <w:r>
        <w:rPr>
          <w:rFonts w:ascii="Calibri" w:hAnsi="Calibri" w:eastAsia="等线"/>
          <w:b/>
          <w:i w:val="0"/>
        </w:rPr>
        <w:t>9.3 若继续扩展</w:t>
      </w:r>
    </w:p>
    <w:p>
      <w:r>
        <w:rPr>
          <w:rFonts w:ascii="Calibri" w:hAnsi="Calibri" w:eastAsia="等线"/>
          <w:b w:val="0"/>
          <w:i w:val="0"/>
        </w:rPr>
        <w:t>实测 CHB-MIT 全部 24 个患者后，发现只有 10 个患者的记录为纯 23 通道，与当前管线的假设一致；其余患者的通道数为 24 至 38 不等，而管线中多处将 22 硬编码，处理这些记录时会静默取错数据而不报错。</w:t>
      </w:r>
    </w:p>
    <w:p>
      <w:r>
        <w:rPr>
          <w:rFonts w:ascii="Calibri" w:hAnsi="Calibri" w:eastAsia="等线"/>
          <w:b w:val="0"/>
          <w:i w:val="0"/>
        </w:rPr>
        <w:t>在这 10 个可用患者中，有 5 个不含任何发作事件，对灵敏度评估无用。推荐组合为 chb01、chb02、chb03、chb05、chb24，合计 177 个文件、38 次发作（其中 chb24 单独含 16 次）。相较之下，当前单患者 chb01 仅 7 次发作、测试集 3 次。扩展后事件级指标才具备统计意义——这是本工作最值得继续的方向。</w:t>
      </w:r>
    </w:p>
    <w:p>
      <w:pPr>
        <w:pStyle w:val="Heading1"/>
      </w:pPr>
      <w:r>
        <w:rPr>
          <w:rFonts w:ascii="Calibri" w:hAnsi="Calibri" w:eastAsia="微软雅黑"/>
          <w:color w:val="1F3564"/>
        </w:rPr>
        <w:t>十、结论</w:t>
      </w:r>
    </w:p>
    <w:p>
      <w:r>
        <w:rPr>
          <w:rFonts w:ascii="Calibri" w:hAnsi="Calibri" w:eastAsia="等线"/>
          <w:b w:val="0"/>
          <w:i w:val="0"/>
        </w:rPr>
        <w:t>本工作完成了 HP-GNN 在 CHB-MIT chb01 上的完整复现，并对其物理信息约束机制做了检验。四条主要结论：</w:t>
      </w:r>
    </w:p>
    <w:p>
      <w:r>
        <w:rPr>
          <w:rFonts w:ascii="Calibri" w:hAnsi="Calibri" w:eastAsia="等线"/>
          <w:b/>
          <w:i w:val="0"/>
        </w:rPr>
        <w:t>第一，官方源码的物理损失在实现上退化，且与论文正文冲突。导数项被写死为零，使损失退化为把耦合强度压向零的正则项；而论文方法节明确写的是「用有限差分近似 dθ/dt」。实测 K 从 0.87 降至 0.22，落入论文声称奇美拉区间 [0.4–0.9] 之外。</w:t>
      </w:r>
    </w:p>
    <w:p>
      <w:r>
        <w:rPr>
          <w:rFonts w:ascii="Calibri" w:hAnsi="Calibri" w:eastAsia="等线"/>
          <w:b/>
          <w:i w:val="0"/>
        </w:rPr>
        <w:t>第二，论文自报的物理损失效应量小于其自身的折间噪声。论文原文承认物理约束只带来 +0.9% 准确率提升，而 HP-GNN 的折间标准差为 ±2.1%。本复现测得 +0.36%，与论文一致。结论不是「没能复现出该效果」，而是该量级本就落在噪声内。</w:t>
      </w:r>
    </w:p>
    <w:p>
      <w:r>
        <w:rPr>
          <w:rFonts w:ascii="Calibri" w:hAnsi="Calibri" w:eastAsia="等线"/>
          <w:b/>
          <w:i w:val="0"/>
        </w:rPr>
        <w:t>第三，问题不止于实现。对真实 Hilbert 相位的直接拟合显示，Kuramoto 方程的耦合项在三种脑状态、三个频带、25 个相位延迟下，对相位演化的方差解释率最高仅 1.55%，发作间期低至 0.00%。即便完全正确地实现，该损失项也不可能提供有效约束。</w:t>
      </w:r>
    </w:p>
    <w:p>
      <w:r>
        <w:rPr>
          <w:rFonts w:ascii="Calibri" w:hAnsi="Calibri" w:eastAsia="等线"/>
          <w:b/>
          <w:i w:val="0"/>
        </w:rPr>
        <w:t>第四，事件级评估的 100% 灵敏度是平凡的。模型在正常序列上的误报率为 7.5%，而单次发作的预测窗口包含数百条序列，命中接近必然。有意义的指标是误报率 0.64 次/小时，与论文报告的 0.48 次/小时处于同一量级。</w:t>
      </w:r>
    </w:p>
    <w:p>
      <w:r>
        <w:rPr>
          <w:rFonts w:ascii="Calibri" w:hAnsi="Calibri" w:eastAsia="等线"/>
          <w:b w:val="0"/>
          <w:i w:val="0"/>
        </w:rPr>
        <w:t>综合来看，本模型的"物理信息"体现在输入表示——超图结构由 PLV 这一物理量构建——而不在损失函数。论文将物理约束押在 Kuramoto 残差上，这一选择在该数据集上缺乏依据。</w:t>
      </w:r>
    </w:p>
    <w:p/>
    <w:p>
      <w:r>
        <w:rPr>
          <w:rFonts w:ascii="Calibri" w:hAnsi="Calibri" w:eastAsia="等线"/>
          <w:i/>
          <w:sz w:val="19"/>
        </w:rPr>
        <w:t>附：《官方源码问题汇总.docx》——官方源码与文献不符之处、源码漏洞清单、code_2 缺失的证据链。</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等线"/>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