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3FFC"/>
    <w:multiLevelType w:val="multilevel"/>
    <w:tmpl w:val="22706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5CE86FF3"/>
    <w:multiLevelType w:val="multilevel"/>
    <w:tmpl w:val="25D0E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A602C"/>
    <w:rsid w:val="00002F2E"/>
    <w:rsid w:val="000939F4"/>
    <w:rsid w:val="000D5EBC"/>
    <w:rsid w:val="000F4401"/>
    <w:rsid w:val="00166422"/>
    <w:rsid w:val="00170F07"/>
    <w:rsid w:val="001A4A61"/>
    <w:rsid w:val="001A602C"/>
    <w:rsid w:val="00240FA6"/>
    <w:rsid w:val="003719B2"/>
    <w:rsid w:val="003A241E"/>
    <w:rsid w:val="00462DF7"/>
    <w:rsid w:val="0047269A"/>
    <w:rsid w:val="00493BAE"/>
    <w:rsid w:val="004A7D99"/>
    <w:rsid w:val="00575512"/>
    <w:rsid w:val="005C793D"/>
    <w:rsid w:val="00614596"/>
    <w:rsid w:val="00630A9D"/>
    <w:rsid w:val="0063675D"/>
    <w:rsid w:val="00636812"/>
    <w:rsid w:val="006A4839"/>
    <w:rsid w:val="006B6F6C"/>
    <w:rsid w:val="007808E3"/>
    <w:rsid w:val="008E5CF2"/>
    <w:rsid w:val="00922416"/>
    <w:rsid w:val="00980837"/>
    <w:rsid w:val="00A47A0E"/>
    <w:rsid w:val="00A5475F"/>
    <w:rsid w:val="00AE2810"/>
    <w:rsid w:val="00B02C6B"/>
    <w:rsid w:val="00B54CFB"/>
    <w:rsid w:val="00B71FA1"/>
    <w:rsid w:val="00B93BAE"/>
    <w:rsid w:val="00BA107B"/>
    <w:rsid w:val="00BB721C"/>
    <w:rsid w:val="00C248D4"/>
    <w:rsid w:val="00C25E71"/>
    <w:rsid w:val="00C876F3"/>
    <w:rsid w:val="00CD4B7F"/>
    <w:rsid w:val="00D04247"/>
    <w:rsid w:val="00D056BB"/>
    <w:rsid w:val="00D10AC3"/>
    <w:rsid w:val="00E31A72"/>
    <w:rsid w:val="00EA74FC"/>
    <w:rsid w:val="00EB7A9B"/>
    <w:rsid w:val="00F026C5"/>
    <w:rsid w:val="00F07D01"/>
    <w:rsid w:val="00F52A84"/>
    <w:rsid w:val="00F8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B7F"/>
  </w:style>
  <w:style w:type="paragraph" w:styleId="Heading1">
    <w:name w:val="heading 1"/>
    <w:basedOn w:val="Normal"/>
    <w:next w:val="Normal"/>
    <w:link w:val="Heading1Char"/>
    <w:uiPriority w:val="9"/>
    <w:qFormat/>
    <w:rsid w:val="00AE28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A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59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056BB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56BB"/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05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6BB"/>
  </w:style>
  <w:style w:type="paragraph" w:styleId="Footer">
    <w:name w:val="footer"/>
    <w:basedOn w:val="Normal"/>
    <w:link w:val="FooterChar"/>
    <w:uiPriority w:val="99"/>
    <w:unhideWhenUsed/>
    <w:rsid w:val="00D05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6BB"/>
  </w:style>
  <w:style w:type="character" w:customStyle="1" w:styleId="apple-converted-space">
    <w:name w:val="apple-converted-space"/>
    <w:basedOn w:val="DefaultParagraphFont"/>
    <w:rsid w:val="00A5475F"/>
  </w:style>
  <w:style w:type="character" w:styleId="Emphasis">
    <w:name w:val="Emphasis"/>
    <w:basedOn w:val="DefaultParagraphFont"/>
    <w:uiPriority w:val="20"/>
    <w:qFormat/>
    <w:rsid w:val="00A5475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E28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0A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B7A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7A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4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chart" Target="charts/chart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oseph\Desktop\ASSIGMENT%20TABL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[Book1]Sheet4!PivotTable4</c:name>
    <c:fmtId val="-1"/>
  </c:pivotSource>
  <c:chart>
    <c:autoTitleDeleted val="0"/>
    <c:pivotFmts>
      <c:pivotFmt>
        <c:idx val="0"/>
        <c:marker>
          <c:symbol val="none"/>
        </c:marker>
      </c:pivotFmt>
      <c:pivotFmt>
        <c:idx val="1"/>
        <c:marker>
          <c:symbol val="none"/>
        </c:marker>
      </c:pivotFmt>
      <c:pivotFmt>
        <c:idx val="2"/>
        <c:marker>
          <c:symbol val="none"/>
        </c:marker>
      </c:pivotFmt>
      <c:pivotFmt>
        <c:idx val="3"/>
        <c:marker>
          <c:symbol val="none"/>
        </c:marker>
      </c:pivotFmt>
      <c:pivotFmt>
        <c:idx val="4"/>
        <c:marker>
          <c:symbol val="none"/>
        </c:marker>
      </c:pivotFmt>
      <c:pivotFmt>
        <c:idx val="5"/>
        <c:marker>
          <c:symbol val="none"/>
        </c:marker>
      </c:pivotFmt>
      <c:pivotFmt>
        <c:idx val="6"/>
        <c:marker>
          <c:symbol val="none"/>
        </c:marker>
      </c:pivotFmt>
      <c:pivotFmt>
        <c:idx val="7"/>
        <c:marker>
          <c:symbol val="none"/>
        </c:marker>
      </c:pivotFmt>
      <c:pivotFmt>
        <c:idx val="8"/>
        <c:marker>
          <c:symbol val="none"/>
        </c:marker>
      </c:pivotFmt>
      <c:pivotFmt>
        <c:idx val="9"/>
        <c:marker>
          <c:symbol val="none"/>
        </c:marker>
      </c:pivotFmt>
      <c:pivotFmt>
        <c:idx val="10"/>
        <c:marker>
          <c:symbol val="none"/>
        </c:marker>
      </c:pivotFmt>
      <c:pivotFmt>
        <c:idx val="11"/>
        <c:marker>
          <c:symbol val="none"/>
        </c:marker>
      </c:pivotFmt>
      <c:pivotFmt>
        <c:idx val="12"/>
        <c:marker>
          <c:symbol val="none"/>
        </c:marker>
      </c:pivotFmt>
      <c:pivotFmt>
        <c:idx val="13"/>
        <c:marker>
          <c:symbol val="none"/>
        </c:marker>
      </c:pivotFmt>
      <c:pivotFmt>
        <c:idx val="14"/>
        <c:marker>
          <c:symbol val="none"/>
        </c:marker>
      </c:pivotFmt>
      <c:pivotFmt>
        <c:idx val="15"/>
        <c:marker>
          <c:symbol val="none"/>
        </c:marker>
      </c:pivotFmt>
      <c:pivotFmt>
        <c:idx val="16"/>
        <c:marker>
          <c:symbol val="none"/>
        </c:marker>
      </c:pivotFmt>
      <c:pivotFmt>
        <c:idx val="17"/>
        <c:marker>
          <c:symbol val="none"/>
        </c:marker>
      </c:pivotFmt>
      <c:pivotFmt>
        <c:idx val="18"/>
        <c:marker>
          <c:symbol val="none"/>
        </c:marker>
      </c:pivotFmt>
      <c:pivotFmt>
        <c:idx val="19"/>
        <c:marker>
          <c:symbol val="none"/>
        </c:marker>
      </c:pivotFmt>
      <c:pivotFmt>
        <c:idx val="20"/>
        <c:marker>
          <c:symbol val="none"/>
        </c:marker>
      </c:pivotFmt>
      <c:pivotFmt>
        <c:idx val="21"/>
        <c:marker>
          <c:symbol val="none"/>
        </c:marker>
      </c:pivotFmt>
      <c:pivotFmt>
        <c:idx val="22"/>
        <c:marker>
          <c:symbol val="none"/>
        </c:marker>
      </c:pivotFmt>
      <c:pivotFmt>
        <c:idx val="23"/>
        <c:marker>
          <c:symbol val="none"/>
        </c:marker>
      </c:pivotFmt>
      <c:pivotFmt>
        <c:idx val="24"/>
        <c:marker>
          <c:symbol val="none"/>
        </c:marker>
      </c:pivotFmt>
      <c:pivotFmt>
        <c:idx val="25"/>
        <c:marker>
          <c:symbol val="none"/>
        </c:marker>
      </c:pivotFmt>
      <c:pivotFmt>
        <c:idx val="26"/>
        <c:marker>
          <c:symbol val="none"/>
        </c:marker>
      </c:pivotFmt>
      <c:pivotFmt>
        <c:idx val="27"/>
        <c:marker>
          <c:symbol val="none"/>
        </c:marker>
      </c:pivotFmt>
      <c:pivotFmt>
        <c:idx val="28"/>
        <c:marker>
          <c:symbol val="none"/>
        </c:marker>
      </c:pivotFmt>
      <c:pivotFmt>
        <c:idx val="29"/>
        <c:marker>
          <c:symbol val="none"/>
        </c:marker>
      </c:pivotFmt>
      <c:pivotFmt>
        <c:idx val="30"/>
        <c:marker>
          <c:symbol val="none"/>
        </c:marker>
      </c:pivotFmt>
      <c:pivotFmt>
        <c:idx val="31"/>
        <c:marker>
          <c:symbol val="none"/>
        </c:marker>
      </c:pivotFmt>
      <c:pivotFmt>
        <c:idx val="32"/>
        <c:marker>
          <c:symbol val="none"/>
        </c:marker>
      </c:pivotFmt>
      <c:pivotFmt>
        <c:idx val="33"/>
        <c:marker>
          <c:symbol val="none"/>
        </c:marker>
      </c:pivotFmt>
      <c:pivotFmt>
        <c:idx val="34"/>
        <c:marker>
          <c:symbol val="none"/>
        </c:marker>
      </c:pivotFmt>
      <c:pivotFmt>
        <c:idx val="35"/>
        <c:marker>
          <c:symbol val="none"/>
        </c:marker>
      </c:pivotFmt>
      <c:pivotFmt>
        <c:idx val="36"/>
        <c:marker>
          <c:symbol val="none"/>
        </c:marker>
      </c:pivotFmt>
      <c:pivotFmt>
        <c:idx val="37"/>
        <c:marker>
          <c:symbol val="none"/>
        </c:marker>
      </c:pivotFmt>
      <c:pivotFmt>
        <c:idx val="38"/>
        <c:marker>
          <c:symbol val="none"/>
        </c:marker>
      </c:pivotFmt>
      <c:pivotFmt>
        <c:idx val="39"/>
        <c:marker>
          <c:symbol val="none"/>
        </c:marker>
      </c:pivotFmt>
      <c:pivotFmt>
        <c:idx val="40"/>
        <c:marker>
          <c:symbol val="none"/>
        </c:marker>
      </c:pivotFmt>
      <c:pivotFmt>
        <c:idx val="41"/>
        <c:marker>
          <c:symbol val="none"/>
        </c:marker>
      </c:pivotFmt>
      <c:pivotFmt>
        <c:idx val="42"/>
        <c:marker>
          <c:symbol val="none"/>
        </c:marker>
      </c:pivotFmt>
      <c:pivotFmt>
        <c:idx val="43"/>
        <c:marker>
          <c:symbol val="none"/>
        </c:marker>
      </c:pivotFmt>
      <c:pivotFmt>
        <c:idx val="44"/>
        <c:marker>
          <c:symbol val="none"/>
        </c:marker>
      </c:pivotFmt>
      <c:pivotFmt>
        <c:idx val="45"/>
        <c:marker>
          <c:symbol val="none"/>
        </c:marker>
      </c:pivotFmt>
      <c:pivotFmt>
        <c:idx val="46"/>
        <c:marker>
          <c:symbol val="none"/>
        </c:marker>
      </c:pivotFmt>
      <c:pivotFmt>
        <c:idx val="47"/>
        <c:marker>
          <c:symbol val="none"/>
        </c:marker>
      </c:pivotFmt>
      <c:pivotFmt>
        <c:idx val="48"/>
        <c:marker>
          <c:symbol val="none"/>
        </c:marker>
      </c:pivotFmt>
      <c:pivotFmt>
        <c:idx val="49"/>
        <c:marker>
          <c:symbol val="none"/>
        </c:marker>
      </c:pivotFmt>
      <c:pivotFmt>
        <c:idx val="50"/>
        <c:marker>
          <c:symbol val="none"/>
        </c:marker>
      </c:pivotFmt>
      <c:pivotFmt>
        <c:idx val="51"/>
        <c:marker>
          <c:symbol val="none"/>
        </c:marker>
      </c:pivotFmt>
      <c:pivotFmt>
        <c:idx val="52"/>
        <c:marker>
          <c:symbol val="none"/>
        </c:marker>
      </c:pivotFmt>
      <c:pivotFmt>
        <c:idx val="53"/>
        <c:marker>
          <c:symbol val="none"/>
        </c:marker>
      </c:pivotFmt>
      <c:pivotFmt>
        <c:idx val="54"/>
        <c:marker>
          <c:symbol val="none"/>
        </c:marker>
      </c:pivotFmt>
      <c:pivotFmt>
        <c:idx val="55"/>
        <c:marker>
          <c:symbol val="none"/>
        </c:marker>
      </c:pivotFmt>
      <c:pivotFmt>
        <c:idx val="56"/>
        <c:marker>
          <c:symbol val="none"/>
        </c:marker>
      </c:pivotFmt>
      <c:pivotFmt>
        <c:idx val="57"/>
        <c:marker>
          <c:symbol val="none"/>
        </c:marker>
      </c:pivotFmt>
      <c:pivotFmt>
        <c:idx val="58"/>
        <c:marker>
          <c:symbol val="none"/>
        </c:marker>
      </c:pivotFmt>
      <c:pivotFmt>
        <c:idx val="59"/>
        <c:marker>
          <c:symbol val="none"/>
        </c:marker>
      </c:pivotFmt>
      <c:pivotFmt>
        <c:idx val="60"/>
        <c:marker>
          <c:symbol val="none"/>
        </c:marker>
      </c:pivotFmt>
      <c:pivotFmt>
        <c:idx val="61"/>
        <c:marker>
          <c:symbol val="none"/>
        </c:marker>
      </c:pivotFmt>
      <c:pivotFmt>
        <c:idx val="62"/>
        <c:marker>
          <c:symbol val="none"/>
        </c:marker>
      </c:pivotFmt>
      <c:pivotFmt>
        <c:idx val="63"/>
        <c:marker>
          <c:symbol val="none"/>
        </c:marker>
      </c:pivotFmt>
      <c:pivotFmt>
        <c:idx val="64"/>
        <c:marker>
          <c:symbol val="none"/>
        </c:marker>
      </c:pivotFmt>
      <c:pivotFmt>
        <c:idx val="65"/>
        <c:marker>
          <c:symbol val="none"/>
        </c:marker>
      </c:pivotFmt>
      <c:pivotFmt>
        <c:idx val="66"/>
        <c:marker>
          <c:symbol val="none"/>
        </c:marker>
      </c:pivotFmt>
      <c:pivotFmt>
        <c:idx val="67"/>
        <c:marker>
          <c:symbol val="none"/>
        </c:marker>
      </c:pivotFmt>
      <c:pivotFmt>
        <c:idx val="68"/>
        <c:marker>
          <c:symbol val="none"/>
        </c:marker>
      </c:pivotFmt>
      <c:pivotFmt>
        <c:idx val="69"/>
        <c:marker>
          <c:symbol val="none"/>
        </c:marker>
      </c:pivotFmt>
      <c:pivotFmt>
        <c:idx val="70"/>
        <c:marker>
          <c:symbol val="none"/>
        </c:marker>
      </c:pivotFmt>
      <c:pivotFmt>
        <c:idx val="71"/>
        <c:marker>
          <c:symbol val="none"/>
        </c:marker>
      </c:pivotFmt>
    </c:pivotFmts>
    <c:plotArea>
      <c:layout>
        <c:manualLayout>
          <c:layoutTarget val="inner"/>
          <c:xMode val="edge"/>
          <c:yMode val="edge"/>
          <c:x val="9.4320080159995504E-2"/>
          <c:y val="6.5289394381257887E-2"/>
          <c:w val="0.72394077155450076"/>
          <c:h val="0.798225065616797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Sheet4!$B$1:$B$2</c:f>
              <c:strCache>
                <c:ptCount val="1"/>
                <c:pt idx="0">
                  <c:v>DELAYED DISCHAR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Sheet4!$B$3</c:f>
              <c:numCache>
                <c:formatCode>General</c:formatCode>
                <c:ptCount val="1"/>
                <c:pt idx="0">
                  <c:v>22920</c:v>
                </c:pt>
              </c:numCache>
            </c:numRef>
          </c:val>
        </c:ser>
        <c:ser>
          <c:idx val="1"/>
          <c:order val="1"/>
          <c:tx>
            <c:strRef>
              <c:f>Sheet4!$C$1:$C$2</c:f>
              <c:strCache>
                <c:ptCount val="1"/>
                <c:pt idx="0">
                  <c:v>DENTAL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Sheet4!$C$3</c:f>
              <c:numCache>
                <c:formatCode>General</c:formatCode>
                <c:ptCount val="1"/>
                <c:pt idx="0">
                  <c:v>979</c:v>
                </c:pt>
              </c:numCache>
            </c:numRef>
          </c:val>
        </c:ser>
        <c:ser>
          <c:idx val="2"/>
          <c:order val="2"/>
          <c:tx>
            <c:strRef>
              <c:f>Sheet4!$D$1:$D$2</c:f>
              <c:strCache>
                <c:ptCount val="1"/>
                <c:pt idx="0">
                  <c:v>GUM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Sheet4!$D$3</c:f>
              <c:numCache>
                <c:formatCode>General</c:formatCode>
                <c:ptCount val="1"/>
                <c:pt idx="0">
                  <c:v>43675.890000000007</c:v>
                </c:pt>
              </c:numCache>
            </c:numRef>
          </c:val>
        </c:ser>
        <c:ser>
          <c:idx val="3"/>
          <c:order val="3"/>
          <c:tx>
            <c:strRef>
              <c:f>Sheet4!$E$1:$E$2</c:f>
              <c:strCache>
                <c:ptCount val="1"/>
                <c:pt idx="0">
                  <c:v>MEDREC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Sheet4!$E$3</c:f>
              <c:numCache>
                <c:formatCode>General</c:formatCode>
                <c:ptCount val="1"/>
                <c:pt idx="0">
                  <c:v>498.2</c:v>
                </c:pt>
              </c:numCache>
            </c:numRef>
          </c:val>
        </c:ser>
        <c:ser>
          <c:idx val="4"/>
          <c:order val="4"/>
          <c:tx>
            <c:strRef>
              <c:f>Sheet4!$F$1:$F$2</c:f>
              <c:strCache>
                <c:ptCount val="1"/>
                <c:pt idx="0">
                  <c:v>NURSE SERVICES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Sheet4!$F$3</c:f>
              <c:numCache>
                <c:formatCode>General</c:formatCode>
                <c:ptCount val="1"/>
                <c:pt idx="0">
                  <c:v>5198</c:v>
                </c:pt>
              </c:numCache>
            </c:numRef>
          </c:val>
        </c:ser>
        <c:ser>
          <c:idx val="5"/>
          <c:order val="5"/>
          <c:tx>
            <c:strRef>
              <c:f>Sheet4!$G$1:$G$2</c:f>
              <c:strCache>
                <c:ptCount val="1"/>
                <c:pt idx="0">
                  <c:v>OTHER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Sheet4!$G$3</c:f>
              <c:numCache>
                <c:formatCode>General</c:formatCode>
                <c:ptCount val="1"/>
                <c:pt idx="0">
                  <c:v>3144.7599999999998</c:v>
                </c:pt>
              </c:numCache>
            </c:numRef>
          </c:val>
        </c:ser>
        <c:ser>
          <c:idx val="6"/>
          <c:order val="6"/>
          <c:tx>
            <c:strRef>
              <c:f>Sheet4!$H$1:$H$2</c:f>
              <c:strCache>
                <c:ptCount val="1"/>
                <c:pt idx="0">
                  <c:v>OUT OF BOROUGH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Sheet4!$H$3</c:f>
              <c:numCache>
                <c:formatCode>General</c:formatCode>
                <c:ptCount val="1"/>
                <c:pt idx="0">
                  <c:v>31801.910000000003</c:v>
                </c:pt>
              </c:numCache>
            </c:numRef>
          </c:val>
        </c:ser>
        <c:ser>
          <c:idx val="7"/>
          <c:order val="7"/>
          <c:tx>
            <c:strRef>
              <c:f>Sheet4!$I$1:$I$2</c:f>
              <c:strCache>
                <c:ptCount val="1"/>
                <c:pt idx="0">
                  <c:v>OVERSEAS PATIENT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Sheet4!$I$3</c:f>
              <c:numCache>
                <c:formatCode>General</c:formatCode>
                <c:ptCount val="1"/>
                <c:pt idx="0">
                  <c:v>62443.03</c:v>
                </c:pt>
              </c:numCache>
            </c:numRef>
          </c:val>
        </c:ser>
        <c:ser>
          <c:idx val="8"/>
          <c:order val="8"/>
          <c:tx>
            <c:strRef>
              <c:f>Sheet4!$J$1:$J$2</c:f>
              <c:strCache>
                <c:ptCount val="1"/>
                <c:pt idx="0">
                  <c:v>PRIVATE PATIENT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Sheet4!$J$3</c:f>
              <c:numCache>
                <c:formatCode>General</c:formatCode>
                <c:ptCount val="1"/>
                <c:pt idx="0">
                  <c:v>2300.5700000000002</c:v>
                </c:pt>
              </c:numCache>
            </c:numRef>
          </c:val>
        </c:ser>
        <c:ser>
          <c:idx val="9"/>
          <c:order val="9"/>
          <c:tx>
            <c:strRef>
              <c:f>Sheet4!$K$1:$K$2</c:f>
              <c:strCache>
                <c:ptCount val="1"/>
                <c:pt idx="0">
                  <c:v>PRVATE PATIENT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Sheet4!$K$3</c:f>
              <c:numCache>
                <c:formatCode>General</c:formatCode>
                <c:ptCount val="1"/>
                <c:pt idx="0">
                  <c:v>150</c:v>
                </c:pt>
              </c:numCache>
            </c:numRef>
          </c:val>
        </c:ser>
        <c:ser>
          <c:idx val="10"/>
          <c:order val="10"/>
          <c:tx>
            <c:strRef>
              <c:f>Sheet4!$L$1:$L$2</c:f>
              <c:strCache>
                <c:ptCount val="1"/>
                <c:pt idx="0">
                  <c:v>RENTS &amp; RATES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Sheet4!$L$3</c:f>
              <c:numCache>
                <c:formatCode>General</c:formatCode>
                <c:ptCount val="1"/>
                <c:pt idx="0">
                  <c:v>233802.43000000005</c:v>
                </c:pt>
              </c:numCache>
            </c:numRef>
          </c:val>
        </c:ser>
        <c:ser>
          <c:idx val="11"/>
          <c:order val="11"/>
          <c:tx>
            <c:strRef>
              <c:f>Sheet4!$M$1:$M$2</c:f>
              <c:strCache>
                <c:ptCount val="1"/>
                <c:pt idx="0">
                  <c:v>SALARY OVERPAYM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Sheet4!$M$3</c:f>
              <c:numCache>
                <c:formatCode>General</c:formatCode>
                <c:ptCount val="1"/>
                <c:pt idx="0">
                  <c:v>89045.34</c:v>
                </c:pt>
              </c:numCache>
            </c:numRef>
          </c:val>
        </c:ser>
        <c:ser>
          <c:idx val="12"/>
          <c:order val="12"/>
          <c:tx>
            <c:strRef>
              <c:f>Sheet4!$N$1:$N$2</c:f>
              <c:strCache>
                <c:ptCount val="1"/>
                <c:pt idx="0">
                  <c:v>SALAY OVERPAYME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Sheet4!$N$3</c:f>
              <c:numCache>
                <c:formatCode>General</c:formatCode>
                <c:ptCount val="1"/>
                <c:pt idx="0">
                  <c:v>4408</c:v>
                </c:pt>
              </c:numCache>
            </c:numRef>
          </c:val>
        </c:ser>
        <c:ser>
          <c:idx val="13"/>
          <c:order val="13"/>
          <c:tx>
            <c:strRef>
              <c:f>Sheet4!$O$1:$O$2</c:f>
              <c:strCache>
                <c:ptCount val="1"/>
                <c:pt idx="0">
                  <c:v>SERVICE CHARGE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Sheet4!$O$3</c:f>
              <c:numCache>
                <c:formatCode>General</c:formatCode>
                <c:ptCount val="1"/>
                <c:pt idx="0">
                  <c:v>61080.26</c:v>
                </c:pt>
              </c:numCache>
            </c:numRef>
          </c:val>
        </c:ser>
        <c:ser>
          <c:idx val="14"/>
          <c:order val="14"/>
          <c:tx>
            <c:strRef>
              <c:f>Sheet4!$P$1:$P$2</c:f>
              <c:strCache>
                <c:ptCount val="1"/>
                <c:pt idx="0">
                  <c:v>SLA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Sheet4!$P$3</c:f>
              <c:numCache>
                <c:formatCode>General</c:formatCode>
                <c:ptCount val="1"/>
                <c:pt idx="0">
                  <c:v>4233.09</c:v>
                </c:pt>
              </c:numCache>
            </c:numRef>
          </c:val>
        </c:ser>
        <c:ser>
          <c:idx val="15"/>
          <c:order val="15"/>
          <c:tx>
            <c:strRef>
              <c:f>Sheet4!$Q$1:$Q$2</c:f>
              <c:strCache>
                <c:ptCount val="1"/>
                <c:pt idx="0">
                  <c:v>SLT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Sheet4!$Q$3</c:f>
              <c:numCache>
                <c:formatCode>General</c:formatCode>
                <c:ptCount val="1"/>
                <c:pt idx="0">
                  <c:v>4384.5</c:v>
                </c:pt>
              </c:numCache>
            </c:numRef>
          </c:val>
        </c:ser>
        <c:ser>
          <c:idx val="16"/>
          <c:order val="16"/>
          <c:tx>
            <c:strRef>
              <c:f>Sheet4!$R$1:$R$2</c:f>
              <c:strCache>
                <c:ptCount val="1"/>
                <c:pt idx="0">
                  <c:v>TRANSFER OFCARE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Sheet4!$R$3</c:f>
              <c:numCache>
                <c:formatCode>General</c:formatCode>
                <c:ptCount val="1"/>
                <c:pt idx="0">
                  <c:v>6360</c:v>
                </c:pt>
              </c:numCache>
            </c:numRef>
          </c:val>
        </c:ser>
        <c:ser>
          <c:idx val="17"/>
          <c:order val="17"/>
          <c:tx>
            <c:strRef>
              <c:f>Sheet4!$S$1:$S$2</c:f>
              <c:strCache>
                <c:ptCount val="1"/>
                <c:pt idx="0">
                  <c:v>VAT ONLY</c:v>
                </c:pt>
              </c:strCache>
            </c:strRef>
          </c:tx>
          <c:invertIfNegative val="0"/>
          <c:cat>
            <c:strRef>
              <c:f>Sheet4!$A$3</c:f>
              <c:strCache>
                <c:ptCount val="1"/>
                <c:pt idx="0">
                  <c:v>Total</c:v>
                </c:pt>
              </c:strCache>
            </c:strRef>
          </c:cat>
          <c:val>
            <c:numRef>
              <c:f>Sheet4!$S$3</c:f>
              <c:numCache>
                <c:formatCode>General</c:formatCode>
                <c:ptCount val="1"/>
                <c:pt idx="0">
                  <c:v>33.33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1074816"/>
        <c:axId val="81084800"/>
      </c:barChart>
      <c:catAx>
        <c:axId val="810748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81084800"/>
        <c:crosses val="autoZero"/>
        <c:auto val="0"/>
        <c:lblAlgn val="ctr"/>
        <c:lblOffset val="100"/>
        <c:noMultiLvlLbl val="0"/>
      </c:catAx>
      <c:valAx>
        <c:axId val="810848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810748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600818638010284"/>
          <c:y val="1.6599227179935845E-2"/>
          <c:w val="0.20392881338055308"/>
          <c:h val="0.9834007728200632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C0BAD712A9647C382220BCDC1A7D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F6C214-662F-401C-B9B5-1E42DAF0A243}"/>
      </w:docPartPr>
      <w:docPartBody>
        <w:p w:rsidR="00EA0B32" w:rsidRDefault="00264B00" w:rsidP="00264B00">
          <w:pPr>
            <w:pStyle w:val="5C0BAD712A9647C382220BCDC1A7DC43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2988301BC38F4DCEAD6FF5F9F0C4DD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CC119-B888-4605-9FED-01A950033DFD}"/>
      </w:docPartPr>
      <w:docPartBody>
        <w:p w:rsidR="00EA0B32" w:rsidRDefault="00264B00" w:rsidP="00264B00">
          <w:pPr>
            <w:pStyle w:val="2988301BC38F4DCEAD6FF5F9F0C4DDB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E6185DB39CA142E880E84B6868686B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052AF-2E7E-4D14-8531-B508B2656F56}"/>
      </w:docPartPr>
      <w:docPartBody>
        <w:p w:rsidR="00EA0B32" w:rsidRDefault="00264B00" w:rsidP="00264B00">
          <w:pPr>
            <w:pStyle w:val="E6185DB39CA142E880E84B6868686B7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09E3637202454922AC6B65327ED8DB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8EC7C7-27CA-4445-A14E-2D267BE3097A}"/>
      </w:docPartPr>
      <w:docPartBody>
        <w:p w:rsidR="00EA0B32" w:rsidRDefault="00264B00" w:rsidP="00264B00">
          <w:pPr>
            <w:pStyle w:val="09E3637202454922AC6B65327ED8DB3C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64B00"/>
    <w:rsid w:val="00264B00"/>
    <w:rsid w:val="00E84215"/>
    <w:rsid w:val="00EA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A78303AC314B0F97F7DCE1A48C4103">
    <w:name w:val="83A78303AC314B0F97F7DCE1A48C4103"/>
    <w:rsid w:val="00264B00"/>
  </w:style>
  <w:style w:type="paragraph" w:customStyle="1" w:styleId="CBD3E42B3A2143A2A4A716809E17C5D0">
    <w:name w:val="CBD3E42B3A2143A2A4A716809E17C5D0"/>
    <w:rsid w:val="00264B00"/>
  </w:style>
  <w:style w:type="paragraph" w:customStyle="1" w:styleId="4668AFCFE6E644288DD30886946322F5">
    <w:name w:val="4668AFCFE6E644288DD30886946322F5"/>
    <w:rsid w:val="00264B00"/>
  </w:style>
  <w:style w:type="paragraph" w:customStyle="1" w:styleId="EE92E0D12D324CEEB23C0F44ACDCF16C">
    <w:name w:val="EE92E0D12D324CEEB23C0F44ACDCF16C"/>
    <w:rsid w:val="00264B00"/>
  </w:style>
  <w:style w:type="paragraph" w:customStyle="1" w:styleId="3CCD2D69AB72409C8E3531FE3CD6E9CE">
    <w:name w:val="3CCD2D69AB72409C8E3531FE3CD6E9CE"/>
    <w:rsid w:val="00264B00"/>
  </w:style>
  <w:style w:type="paragraph" w:customStyle="1" w:styleId="5C0BAD712A9647C382220BCDC1A7DC43">
    <w:name w:val="5C0BAD712A9647C382220BCDC1A7DC43"/>
    <w:rsid w:val="00264B00"/>
  </w:style>
  <w:style w:type="paragraph" w:customStyle="1" w:styleId="2988301BC38F4DCEAD6FF5F9F0C4DDB6">
    <w:name w:val="2988301BC38F4DCEAD6FF5F9F0C4DDB6"/>
    <w:rsid w:val="00264B00"/>
  </w:style>
  <w:style w:type="paragraph" w:customStyle="1" w:styleId="6DEF4E82CDA24DC4B8B893CC06ED23B2">
    <w:name w:val="6DEF4E82CDA24DC4B8B893CC06ED23B2"/>
    <w:rsid w:val="00264B00"/>
  </w:style>
  <w:style w:type="paragraph" w:customStyle="1" w:styleId="E6185DB39CA142E880E84B6868686B79">
    <w:name w:val="E6185DB39CA142E880E84B6868686B79"/>
    <w:rsid w:val="00264B00"/>
  </w:style>
  <w:style w:type="paragraph" w:customStyle="1" w:styleId="09E3637202454922AC6B65327ED8DB3C">
    <w:name w:val="09E3637202454922AC6B65327ED8DB3C"/>
    <w:rsid w:val="00264B00"/>
  </w:style>
  <w:style w:type="paragraph" w:customStyle="1" w:styleId="10A453268F9C4546B4AA03D2C54A441D">
    <w:name w:val="10A453268F9C4546B4AA03D2C54A441D"/>
    <w:rsid w:val="00264B00"/>
  </w:style>
  <w:style w:type="paragraph" w:customStyle="1" w:styleId="358D387D9C59499B9FEFAFA356DD8D18">
    <w:name w:val="358D387D9C59499B9FEFAFA356DD8D18"/>
    <w:rsid w:val="00264B00"/>
  </w:style>
  <w:style w:type="paragraph" w:customStyle="1" w:styleId="52BAE6B4F1394F0D91C939DDE765B796">
    <w:name w:val="52BAE6B4F1394F0D91C939DDE765B796"/>
    <w:rsid w:val="00264B00"/>
  </w:style>
  <w:style w:type="paragraph" w:customStyle="1" w:styleId="579B9690241347E8977EE813D7B8C9CA">
    <w:name w:val="579B9690241347E8977EE813D7B8C9CA"/>
    <w:rsid w:val="00264B00"/>
  </w:style>
  <w:style w:type="paragraph" w:customStyle="1" w:styleId="22CD68E8E8F54CB0A6B1CBA6830D88C3">
    <w:name w:val="22CD68E8E8F54CB0A6B1CBA6830D88C3"/>
    <w:rsid w:val="00264B00"/>
  </w:style>
  <w:style w:type="paragraph" w:customStyle="1" w:styleId="3750B2AAF5CB4AB08E194CA86EF1CC60">
    <w:name w:val="3750B2AAF5CB4AB08E194CA86EF1CC60"/>
    <w:rsid w:val="00264B0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2014-10-22T00:00:00</PublishDate>
  <Abstract>Show how to allocate work for a team through a clear understanding of what output is required, the resources available, timescales involved and how performance will be measured.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AABEFE-ECC5-49FA-9A4A-C96B5E0B9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1766</Words>
  <Characters>10068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ILM LEVEL3 STEPPING STONES</vt:lpstr>
    </vt:vector>
  </TitlesOfParts>
  <Company>pORTABLE TRAINING SERVICES</Company>
  <LinksUpToDate>false</LinksUpToDate>
  <CharactersWithSpaces>11811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ILM LEVEL3 STEPPING STONES</dc:title>
  <dc:subject>Solving Problems</dc:subject>
  <dc:creator>MARCUS CATO</dc:creator>
  <cp:lastModifiedBy>new</cp:lastModifiedBy>
  <cp:revision>12</cp:revision>
  <dcterms:created xsi:type="dcterms:W3CDTF">2014-10-22T19:40:00Z</dcterms:created>
  <dcterms:modified xsi:type="dcterms:W3CDTF">2014-11-08T21:05:00Z</dcterms:modified>
</cp:coreProperties>
</file>