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5322"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The Company and Its AI Ambitions</w:t>
      </w:r>
    </w:p>
    <w:p w14:paraId="7E232FBE"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JPMC is a financial institution of extraordinary scale — handling $10 trillion in transactions daily, employing 310,000 people across 60+ countries, and managing $5.9 trillion in client assets in its Asset &amp; Wealth Management division alone. CEO Jamie Dimon framed GenAI as potentially as transformational as the printing press, steam engine, or electricity — not a marginal productivity tool but a civilizational shift.</w:t>
      </w:r>
    </w:p>
    <w:p w14:paraId="26EB778C"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By early 2025, JPMC had deployed its GenAI toolkit, LLM Suite, to 200,000 employees — two-thirds of its workforce — with half of those users engaging with it several times daily. Existing AI initiatives across fraud prevention, trading, credit decisions, and service personalization were already generating up to $1.5 billion in annual value. JPMC had been ranked first among 50 leading banks for AI capabilities, with an AI workforce larger than the next seven banks combined.</w:t>
      </w:r>
    </w:p>
    <w:p w14:paraId="32560283"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pict w14:anchorId="05DD45A6">
          <v:rect id="_x0000_i1073" style="width:0;height:1.5pt" o:hralign="center" o:hrstd="t" o:hr="t" fillcolor="#a0a0a0" stroked="f"/>
        </w:pict>
      </w:r>
    </w:p>
    <w:p w14:paraId="28AB2E76"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The Journey: From Blocking ChatGPT to Firm-Wide Deployment</w:t>
      </w:r>
    </w:p>
    <w:p w14:paraId="4A223AA9"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When OpenAI released ChatGPT in November 2022, JPMC's initial reaction was to block it entirely. Chief Risk Officer Ashley Bacon recognized its potential immediately but flagged the risk that employees might feed confidential client data into external systems. The bank's first move was therefore defensive — block the public tool while racing to build an equivalent internal platform.</w:t>
      </w:r>
    </w:p>
    <w:p w14:paraId="1E313E69"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The solution was a March 2023 contract with Microsoft Azure, which gave JPMC access to OpenAI's LLMs through Microsoft's cloud infrastructure while keeping all data behind JPMC's own firewalls. This was significant — it was described as the first time confidential financial data was used at scale on shared computing infrastructure, requiring a deeply trusted partner relationship. Crucially, JPMC built its platform as model-agnostic from the start, able to swap in different LLMs depending on performance and cost — a "fund of funds" approach to AI providers that insulated the bank from betting on any single vendor.</w:t>
      </w:r>
    </w:p>
    <w:p w14:paraId="623413E4"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pict w14:anchorId="14C5AE00">
          <v:rect id="_x0000_i1074" style="width:0;height:1.5pt" o:hralign="center" o:hrstd="t" o:hr="t" fillcolor="#a0a0a0" stroked="f"/>
        </w:pict>
      </w:r>
    </w:p>
    <w:p w14:paraId="02EBF231"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Governance and Risk Management</w:t>
      </w:r>
    </w:p>
    <w:p w14:paraId="30B6E58B"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Operating in a heavily regulated industry made GenAI adoption more complex at JPMC than at most firms. The bank developed a tiered governance approach: high-risk use cases (particularly anything customer-facing) went through full independent model review; lower-risk internal use cases required a risk and control assessment with human oversight built in. Every AI model had to be registered in the firm's control process before deployment.</w:t>
      </w:r>
    </w:p>
    <w:p w14:paraId="7390D19F"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 xml:space="preserve">A key technical challenge was hallucination — the tendency of early LLMs to generate confident but factually incorrect responses. AWM's Chief Data Analytics and CIO Mike Urciuoli led the development of a 12-level set of guardrails specifically designed to reduce hallucination risk and make LLM output more predictable and reliable. Human-in-the-loop requirements were maintained throughout — PB advisors remained personally responsible for any guidance they provided clients, whether or not it was assisted </w:t>
      </w:r>
      <w:r w:rsidRPr="00AE27E5">
        <w:rPr>
          <w:rFonts w:ascii="Calibri" w:hAnsi="Calibri" w:cs="Calibri"/>
          <w:sz w:val="22"/>
          <w:szCs w:val="22"/>
        </w:rPr>
        <w:lastRenderedPageBreak/>
        <w:t>by GenAI. Every Coach response included hyperlinked citations so advisors could verify the underlying source material.</w:t>
      </w:r>
    </w:p>
    <w:p w14:paraId="15C6C696"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A subtler risk the case flags is automation bias — the tendency of humans to over-trust tool output without triangulating against other sources. As Bacon noted, employees quickly learn to trust what their tools can do, which can erode the critical judgment that is supposed to keep the human meaningfully in the loop.</w:t>
      </w:r>
    </w:p>
    <w:p w14:paraId="05BD2BDB"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pict w14:anchorId="7EB0EE6B">
          <v:rect id="_x0000_i1075" style="width:0;height:1.5pt" o:hralign="center" o:hrstd="t" o:hr="t" fillcolor="#a0a0a0" stroked="f"/>
        </w:pict>
      </w:r>
    </w:p>
    <w:p w14:paraId="45482F59"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Building the Culture of Adoption</w:t>
      </w:r>
    </w:p>
    <w:p w14:paraId="7D4D4B69"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One of the case's most interesting threads is how JPMC, and AWM in particular, drove cultural adoption of a technology that many employees initially viewed with skepticism or fear. Several tactics proved effective:</w:t>
      </w:r>
    </w:p>
    <w:p w14:paraId="1952F26F"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Mary Erdoes was a vocal and visible champion from day one, putting ChatGPT on the first page of her phone and insisting that every single AWM employee — from administrative assistants to managing directors — receive GenAI access simultaneously. This democratizing instinct proved critical. Had access been limited to senior staff, the grassroots experimentation that generated the best ideas would never have occurred.</w:t>
      </w:r>
    </w:p>
    <w:p w14:paraId="1E2B4665"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AWM organized "AI Days" in June and September 2023, structured as competitive demos where cross-functional teams presented GenAI use cases. Senior managers were told participation would factor into performance reviews. The first event produced 30 demos; the second produced 100. The format created both inspiration and competitive pressure — teams that had nothing to show felt the urgency of catching up.</w:t>
      </w:r>
    </w:p>
    <w:p w14:paraId="7D3861C3"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A Shark Tank-style competition for early-career analysts generated 500 proposals, the top six of which were evaluated by the AWM operating committee. Crucially, JPMC committed to actually building the winning idea — signaling that junior employees' contributions genuinely mattered. Peer competition was also used explicitly as an adoption mechanism, with usage statistics shared publicly by group.</w:t>
      </w:r>
    </w:p>
    <w:p w14:paraId="770B6435"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pict w14:anchorId="64B77674">
          <v:rect id="_x0000_i1076" style="width:0;height:1.5pt" o:hralign="center" o:hrstd="t" o:hr="t" fillcolor="#a0a0a0" stroked="f"/>
        </w:pict>
      </w:r>
    </w:p>
    <w:p w14:paraId="0B103487"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LLM Suite: The Platform</w:t>
      </w:r>
    </w:p>
    <w:p w14:paraId="07BBC87B"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The firm's GenAI platform, LLM Suite, was designed as an integrated desktop assistant rather than a standalone tool — embedded in existing JPMC software so users could engage it without changing their workflow. It provided natural language access to JPMC's knowledge base, research repositories, earnings transcripts, regulatory guidance, and financial market information, with data security and compliance logging built in from the ground up.</w:t>
      </w:r>
    </w:p>
    <w:p w14:paraId="4A06DB51"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 xml:space="preserve">Adoption followed a classic S-curve: from 10 users in January 2024 to 200,000 by November 2024. Consistently, about 30% of users were active, 10% were super-users, and the remainder were slow adopters — until critical mass was reached, at which point the active-user share rose to 50%. The firm </w:t>
      </w:r>
      <w:r w:rsidRPr="00AE27E5">
        <w:rPr>
          <w:rFonts w:ascii="Calibri" w:hAnsi="Calibri" w:cs="Calibri"/>
          <w:sz w:val="22"/>
          <w:szCs w:val="22"/>
        </w:rPr>
        <w:lastRenderedPageBreak/>
        <w:t>identified super-users and deployed them as internal evangelists and trainers, a deliberate strategy for accelerating adoption through peer influence rather than top-down mandate.</w:t>
      </w:r>
    </w:p>
    <w:p w14:paraId="04189AF4"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pict w14:anchorId="6D483C72">
          <v:rect id="_x0000_i1077" style="width:0;height:1.5pt" o:hralign="center" o:hrstd="t" o:hr="t" fillcolor="#a0a0a0" stroked="f"/>
        </w:pict>
      </w:r>
    </w:p>
    <w:p w14:paraId="3EFD4507"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Connect Coach: The Private Bank Application</w:t>
      </w:r>
    </w:p>
    <w:p w14:paraId="154DF4D6"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Coach was the most ambitious and complex GenAI application in the Private Bank. It took multiple cross-functional AWM teams over a year to build and was launched to 3,000 advisors in October 2024. Rather than a single chatbot, Coach was an orchestrated multi-agent system — a natural language interface that parsed advisor queries and routed them to more than two dozen specialized internal agents, each drawing on different combinations of structured and unstructured JPMC data, client profiles, and approved external sources.</w:t>
      </w:r>
    </w:p>
    <w:p w14:paraId="6AB680AB"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Coach addressed a concrete operational problem: advisors frequently needed to consult subject matter experts or manually search content libraries to answer client questions, causing delays and consuming time better spent building relationships. By putting comprehensive, vetted information at advisors' fingertips instantly, Coach aimed to enable advisors to grow their client rosters by 50% — handling more clients more effectively by eliminating information friction.</w:t>
      </w:r>
    </w:p>
    <w:p w14:paraId="76731289"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In practice, advisors used Coach most heavily for three things: generating memos of client calls; data crawls for investment information; and natural language queries about clients (such as identifying those underexposed to a particular asset class or those the advisor hadn't contacted recently). Every response clearly distinguished between JPMC-sourced and publicly sourced content, with the latter presented separately and collapsed by default to reinforce appropriate skepticism.</w:t>
      </w:r>
    </w:p>
    <w:p w14:paraId="379AF99F"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The development path from PlanningGPT — the earliest estate planning chatbot, which initially achieved 50% fully robust responses — to Turbo, which achieved 90%, illustrated the iterative improvement process. Subject matter experts were embedded with technology teams throughout, retaining ownership of content selection and validation, because they understood that content best. This federated model — decentralizing data scientists to subject area teams rather than centralizing them — proved key to accelerating development across multiple domains in parallel.</w:t>
      </w:r>
    </w:p>
    <w:p w14:paraId="4F67194F"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pict w14:anchorId="0743C85F">
          <v:rect id="_x0000_i1078" style="width:0;height:1.5pt" o:hralign="center" o:hrstd="t" o:hr="t" fillcolor="#a0a0a0" stroked="f"/>
        </w:pict>
      </w:r>
    </w:p>
    <w:p w14:paraId="4142CFA7"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The Central Strategic Question</w:t>
      </w:r>
    </w:p>
    <w:p w14:paraId="3B251F59"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The case's organizing dilemma is Erdoes's question to Beer and Heitsenrether: should JPMC release a version of Coach directly to clients? If so, when, how, and in what form?</w:t>
      </w:r>
    </w:p>
    <w:p w14:paraId="1A305F78"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The arguments for doing so are compelling. GenAI can scale personalization in ways that human advisors cannot — responding to every client's specific portfolio, risk appetite, and life circumstances simultaneously. Many clients already prefer self-service for transactional needs. The bank had only enabled full online trading in March 2024 (120,000 client-initiated trades followed immediately), suggesting unmet demand. And competitive pressure was intensifying — first movers in client-facing GenAI would accumulate proprietary usage data and learning advantages that compound over time.</w:t>
      </w:r>
    </w:p>
    <w:p w14:paraId="4CCB32AB"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lastRenderedPageBreak/>
        <w:t>But Heitsenrether was direct: the technology was not yet ready to be client-facing. Hallucination risk, regulatory requirements, and the higher bar for accuracy in advice that could affect clients' financial lives all counseled caution. An intermediate option — introducing a voice-enabled version of Coach into advisor-client meetings, where the AI could listen and respond to questions in real time while the advisor remained present — was floated as a possible bridge step.</w:t>
      </w:r>
    </w:p>
    <w:p w14:paraId="2A63AD2E"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The deeper question was whether client access to Coach would complement or substitute for the advisor relationship. Some executives believed it would complement — removing basic information friction and freeing both clients and advisors for higher-value conversation. Others worried about the implications for the high-touch, relationship-based model that defined private banking and justified its premium.</w:t>
      </w:r>
    </w:p>
    <w:p w14:paraId="4CF77622"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pict w14:anchorId="4E6A87CD">
          <v:rect id="_x0000_i1079" style="width:0;height:1.5pt" o:hralign="center" o:hrstd="t" o:hr="t" fillcolor="#a0a0a0" stroked="f"/>
        </w:pict>
      </w:r>
    </w:p>
    <w:p w14:paraId="4C7BC793"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The Workforce Question</w:t>
      </w:r>
    </w:p>
    <w:p w14:paraId="43A42858"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The case does not shy away from the implications for employment. Citigroup had estimated that GenAI could displace 54% of banking roles. Erdoes and Dimon both acknowledged the reality directly but framed it as manageable — JPMC was growing, which meant AI-driven efficiency would reduce the need to hire rather than trigger mass layoffs. Dimon's formulation was blunt: "Your job won't be taken by AI; it will be taken by a person mastering the use of AI."</w:t>
      </w:r>
    </w:p>
    <w:p w14:paraId="0BAC9EEC"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t>The apprenticeship model central to private banking — pairing new advisors with senior ones in a teaching-hospital style curriculum — also faced disruption. If GenAI could provide the institutional knowledge and pattern recognition that experienced advisors once transmitted through mentorship, what would become of the apprenticeship model that had historically been the engine of advisor development?</w:t>
      </w:r>
    </w:p>
    <w:p w14:paraId="78598D3C" w14:textId="77777777" w:rsidR="00AE27E5" w:rsidRPr="00AE27E5" w:rsidRDefault="00AE27E5" w:rsidP="00AE27E5">
      <w:pPr>
        <w:rPr>
          <w:rFonts w:ascii="Calibri" w:hAnsi="Calibri" w:cs="Calibri"/>
          <w:sz w:val="22"/>
          <w:szCs w:val="22"/>
        </w:rPr>
      </w:pPr>
      <w:r w:rsidRPr="00AE27E5">
        <w:rPr>
          <w:rFonts w:ascii="Calibri" w:hAnsi="Calibri" w:cs="Calibri"/>
          <w:sz w:val="22"/>
          <w:szCs w:val="22"/>
        </w:rPr>
        <w:pict w14:anchorId="67E8B284">
          <v:rect id="_x0000_i1080" style="width:0;height:1.5pt" o:hralign="center" o:hrstd="t" o:hr="t" fillcolor="#a0a0a0" stroked="f"/>
        </w:pict>
      </w:r>
    </w:p>
    <w:p w14:paraId="1E8C3E45" w14:textId="77777777" w:rsidR="00AE27E5" w:rsidRPr="00AE27E5" w:rsidRDefault="00AE27E5" w:rsidP="00AE27E5">
      <w:pPr>
        <w:rPr>
          <w:rFonts w:ascii="Calibri" w:hAnsi="Calibri" w:cs="Calibri"/>
          <w:b/>
          <w:bCs/>
          <w:sz w:val="22"/>
          <w:szCs w:val="22"/>
        </w:rPr>
      </w:pPr>
      <w:r w:rsidRPr="00AE27E5">
        <w:rPr>
          <w:rFonts w:ascii="Calibri" w:hAnsi="Calibri" w:cs="Calibri"/>
          <w:b/>
          <w:bCs/>
          <w:sz w:val="22"/>
          <w:szCs w:val="22"/>
        </w:rPr>
        <w:t>Key Takeaways</w:t>
      </w:r>
    </w:p>
    <w:p w14:paraId="053DA022" w14:textId="77777777" w:rsidR="00AE27E5" w:rsidRDefault="00AE27E5" w:rsidP="00AE27E5">
      <w:pPr>
        <w:rPr>
          <w:rFonts w:ascii="Calibri" w:hAnsi="Calibri" w:cs="Calibri"/>
          <w:sz w:val="22"/>
          <w:szCs w:val="22"/>
        </w:rPr>
      </w:pPr>
      <w:r w:rsidRPr="00AE27E5">
        <w:rPr>
          <w:rFonts w:ascii="Calibri" w:hAnsi="Calibri" w:cs="Calibri"/>
          <w:sz w:val="22"/>
          <w:szCs w:val="22"/>
        </w:rPr>
        <w:t>The JPMC case offers several broader lessons about large-scale AI adoption in regulated industries. First, governance and security infrastructure must precede deployment — JPMC's decision to build its own platform rather than expose employees to public LLMs was not just prudent but strategically enabling. Second, democratizing access across the entire workforce, not just technical specialists, is essential for generating the volume and variety of use cases needed to discover what the technology can actually do. Third, the "crawl, walk, run" approach — piloting carefully, learning from each iteration, and scaling what works — proved more effective than either moving too fast or overthinking before acting. Fourth, the human-in-the-loop requirement is not just a compliance checkbox; it is a genuine risk management necessity at the current state of LLM reliability, particularly in high-stakes, client-facing contexts. And finally, the question of whether to deploy AI directly to clients — rather than just to employees — represents the next frontier of competitive differentiation, and also the next frontier of risk.</w:t>
      </w:r>
    </w:p>
    <w:p w14:paraId="7DDCFFE9"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1. Impact of GenAI and Agentic Systems on Financial Services</w:t>
      </w:r>
    </w:p>
    <w:p w14:paraId="22529784"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lastRenderedPageBreak/>
        <w:t>The Fundamental Shift</w:t>
      </w:r>
    </w:p>
    <w:p w14:paraId="558B5ED2"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Financial services is, at its core, an information-processing and judgment industry. It converts data into decisions — credit decisions, investment decisions, risk decisions, compliance decisions. GenAI is a transformative technology precisely because it operates in this domain. Unlike prior waves of automation that handled structured, rule-based tasks, LLMs can process unstructured information — client notes, research reports, regulatory filings, market commentary, earnings calls — and synthesize it into actionable guidance at a speed and scale no human team can match.</w:t>
      </w:r>
    </w:p>
    <w:p w14:paraId="5EC17D26"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JPMC case captures this well. Dimon's framing — comparing GenAI to the printing press, steam engine, and electricity — is not hyperbole for its own sake. Those technologies were general-purpose, meaning their impact compounded across virtually every sector simultaneously. GenAI shares that character. It does not automate one task; it augments the cognitive layer of work itself.</w:t>
      </w:r>
    </w:p>
    <w:p w14:paraId="3FEAF2FF"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Near-Term Impacts Already Underway</w:t>
      </w:r>
    </w:p>
    <w:p w14:paraId="3378F276"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Several impact categories are already visible in financial services:</w:t>
      </w:r>
    </w:p>
    <w:p w14:paraId="41FA59D5"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Productivity amplification</w:t>
      </w:r>
      <w:r w:rsidRPr="002D3A83">
        <w:rPr>
          <w:rFonts w:ascii="Calibri" w:hAnsi="Calibri" w:cs="Calibri"/>
          <w:sz w:val="22"/>
          <w:szCs w:val="22"/>
        </w:rPr>
        <w:t xml:space="preserve"> is the most immediate. JPMC is seeing 10-20% productivity gains from GenAI coding assistance alone. Across the firm, "no joy" work — call memo generation, document summarization, compliance evidence gathering, meeting prep — is being automated or dramatically accelerated. The case notes that AWM hoped Coach would enable advisors to grow client rosters by 50%, essentially expanding revenue capacity without proportional headcount growth.</w:t>
      </w:r>
    </w:p>
    <w:p w14:paraId="3C55065D"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Knowledge democratization</w:t>
      </w:r>
      <w:r w:rsidRPr="002D3A83">
        <w:rPr>
          <w:rFonts w:ascii="Calibri" w:hAnsi="Calibri" w:cs="Calibri"/>
          <w:sz w:val="22"/>
          <w:szCs w:val="22"/>
        </w:rPr>
        <w:t xml:space="preserve"> is equally significant. Historically, the quality of advice in financial services was constrained by access to expertise — you needed to find and consult the right specialist. GenAI collapses that bottleneck. Coach allows a PB advisor to access the equivalent of JPMC's entire estate planning, tax, investment, and philanthropy expertise instantly, without waiting for a specialist to return a call. The internal cost of expertise, as Mohamed Khalifa noted, is going to zero for basic information.</w:t>
      </w:r>
    </w:p>
    <w:p w14:paraId="24E1EA4A"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Fraud and risk management</w:t>
      </w:r>
      <w:r w:rsidRPr="002D3A83">
        <w:rPr>
          <w:rFonts w:ascii="Calibri" w:hAnsi="Calibri" w:cs="Calibri"/>
          <w:sz w:val="22"/>
          <w:szCs w:val="22"/>
        </w:rPr>
        <w:t xml:space="preserve"> are being enhanced by GenAI's ability to process and correlate signals at scale. JPMC already uses AI for fraud detection, and GenAI is augmenting this by helping analysts triage false positives, synthesize anomaly logs, and identify threat patterns across millions of transactions simultaneously.</w:t>
      </w:r>
    </w:p>
    <w:p w14:paraId="09E5DDD2"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Compliance and surveillance</w:t>
      </w:r>
      <w:r w:rsidRPr="002D3A83">
        <w:rPr>
          <w:rFonts w:ascii="Calibri" w:hAnsi="Calibri" w:cs="Calibri"/>
          <w:sz w:val="22"/>
          <w:szCs w:val="22"/>
        </w:rPr>
        <w:t xml:space="preserve"> — historically labor-intensive — are being transformed. GenAI can review communications, flag potential violations, and summarize regulatory evidence at a scale that makes comprehensive coverage feasible rather than statistical.</w:t>
      </w:r>
    </w:p>
    <w:p w14:paraId="527B78F6"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The Agentic Frontier</w:t>
      </w:r>
    </w:p>
    <w:p w14:paraId="65DC4DA1"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more consequential shift, still in its early stages, is the move from GenAI as a tool that assists humans to agentic systems that act autonomously on their behalf. The distinction matters enormously.</w:t>
      </w:r>
    </w:p>
    <w:p w14:paraId="4F9B18A4"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Current GenAI applications — LLM Suite, Coach in its present form — are fundamentally responsive. A human asks a question; the system provides an answer; the human decides what to do. The human remains the decision-maker and the agent.</w:t>
      </w:r>
    </w:p>
    <w:p w14:paraId="0C0D2EC9"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lastRenderedPageBreak/>
        <w:t>Agentic systems invert this. They are given goals or constraints and autonomously execute multi-step workflows to achieve them — browsing the web, calling APIs, writing and executing code, sending communications, updating records — without a human initiating each action. JPMC's own Sindhwani described the agentic builder under active development, with the expectation of reducing time from ideation to production by up to 50%.</w:t>
      </w:r>
    </w:p>
    <w:p w14:paraId="70C89B60"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In financial services, the agentic implications are profound. Consider a few scenarios that are technically feasible within the next two to three years:</w:t>
      </w:r>
    </w:p>
    <w:p w14:paraId="5AFDA138"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An agentic system could monitor a client's portfolio continuously, detect a tax-loss harvesting opportunity triggered by a market move, verify the client's tax situation and wash-sale constraints, generate and pre-clear a trade recommendation, and — pending advisor approval — execute it. The advisor's role shifts from identifying and executing the opportunity to reviewing and approving a recommendation the system already prepared.</w:t>
      </w:r>
    </w:p>
    <w:p w14:paraId="4F1EB82F"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An agentic compliance system could monitor all advisor-client communications in real time, flag potential suitability issues, cross-reference against the client's investment policy statement, and generate a pre-populated compliance review — replacing what currently requires teams of compliance officers reviewing sampled communications after the fact.</w:t>
      </w:r>
    </w:p>
    <w:p w14:paraId="688CD0EB"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An agentic credit underwriting system could pull all relevant data on a corporate loan applicant — financials, public filings, news, credit history, industry benchmarks, comparable transactions — synthesize it into a credit memo, stress-test it against multiple scenarios, and present a recommendation with supporting documentation, all before a human underwriter has opened the file.</w:t>
      </w:r>
    </w:p>
    <w:p w14:paraId="7D37AC25"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The Structural Implications</w:t>
      </w:r>
    </w:p>
    <w:p w14:paraId="5BD41368"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At scale, agentic GenAI implies several structural shifts for financial services:</w:t>
      </w:r>
    </w:p>
    <w:p w14:paraId="71F9624E"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Headcount composition</w:t>
      </w:r>
      <w:r w:rsidRPr="002D3A83">
        <w:rPr>
          <w:rFonts w:ascii="Calibri" w:hAnsi="Calibri" w:cs="Calibri"/>
          <w:sz w:val="22"/>
          <w:szCs w:val="22"/>
        </w:rPr>
        <w:t xml:space="preserve"> will shift dramatically. The Citigroup estimate cited in the case — 54% of banking roles could be displaced — is consistent with the direction of travel, even if the precise figure is debatable. The roles most at risk are those involving synthesis of structured information into documents, decisions, or communications — associate-level work in investment banking, junior advisor roles, compliance analysts, back-office operations. The roles least at risk are those requiring relationship judgment, novel problem-solving, regulatory accountability, and emotional intelligence with clients.</w:t>
      </w:r>
    </w:p>
    <w:p w14:paraId="073D4F43"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Competitive dynamics</w:t>
      </w:r>
      <w:r w:rsidRPr="002D3A83">
        <w:rPr>
          <w:rFonts w:ascii="Calibri" w:hAnsi="Calibri" w:cs="Calibri"/>
          <w:sz w:val="22"/>
          <w:szCs w:val="22"/>
        </w:rPr>
        <w:t xml:space="preserve"> will be reshaped by data advantages. Financial institutions with proprietary client data, transaction histories, and behavioral signals — JPMC chief among them — will have structural advantages in training and fine-tuning models that smaller competitors cannot replicate. The flywheel effect is real: more users generate more prompts, which generate more feedback, which improve the models, which attract more users.</w:t>
      </w:r>
    </w:p>
    <w:p w14:paraId="561679CE"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advice value chain</w:t>
      </w:r>
      <w:r w:rsidRPr="002D3A83">
        <w:rPr>
          <w:rFonts w:ascii="Calibri" w:hAnsi="Calibri" w:cs="Calibri"/>
          <w:sz w:val="22"/>
          <w:szCs w:val="22"/>
        </w:rPr>
        <w:t xml:space="preserve"> will be fundamentally restructured. The traditional model — where the value of a financial advisor resided partly in their privileged access to information and expertise — is being eroded. When GenAI can provide any advisor with comprehensive, personalized, up-to-the-minute investment </w:t>
      </w:r>
      <w:r w:rsidRPr="002D3A83">
        <w:rPr>
          <w:rFonts w:ascii="Calibri" w:hAnsi="Calibri" w:cs="Calibri"/>
          <w:sz w:val="22"/>
          <w:szCs w:val="22"/>
        </w:rPr>
        <w:lastRenderedPageBreak/>
        <w:t>guidance, the differentiator shifts from information access to relationship quality, judgment, and trust. This is both an opportunity and a threat, depending on how firms position themselves.</w:t>
      </w:r>
    </w:p>
    <w:p w14:paraId="374BC414"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Regulatory frameworks</w:t>
      </w:r>
      <w:r w:rsidRPr="002D3A83">
        <w:rPr>
          <w:rFonts w:ascii="Calibri" w:hAnsi="Calibri" w:cs="Calibri"/>
          <w:sz w:val="22"/>
          <w:szCs w:val="22"/>
        </w:rPr>
        <w:t xml:space="preserve"> will struggle to keep pace. Financial regulators are grappling with questions of model accountability, explainability, fair lending, suitability, and fiduciary duty in an AI-assisted environment. The firms that build governance infrastructure proactively — as JPMC has done — will be better positioned when regulatory expectations crystallize.</w:t>
      </w:r>
    </w:p>
    <w:p w14:paraId="70AE10D9"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pict w14:anchorId="5C346CBB">
          <v:rect id="_x0000_i1129" style="width:0;height:1.5pt" o:hralign="center" o:hrstd="t" o:hr="t" fillcolor="#a0a0a0" stroked="f"/>
        </w:pict>
      </w:r>
    </w:p>
    <w:p w14:paraId="60C95003"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2. Evaluating JPMC's Approach and Impact</w:t>
      </w:r>
    </w:p>
    <w:p w14:paraId="260F749C"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The Strategic Logic</w:t>
      </w:r>
    </w:p>
    <w:p w14:paraId="39F93F44"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JPMC's approach to AI transformation has been distinctive in several ways that deserve careful evaluation rather than simple praise.</w:t>
      </w:r>
    </w:p>
    <w:p w14:paraId="29FCEF31"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Starting with infrastructure</w:t>
      </w:r>
      <w:r w:rsidRPr="002D3A83">
        <w:rPr>
          <w:rFonts w:ascii="Calibri" w:hAnsi="Calibri" w:cs="Calibri"/>
          <w:sz w:val="22"/>
          <w:szCs w:val="22"/>
        </w:rPr>
        <w:t xml:space="preserve"> was the right call, even though it was unglamorous. Beer's decade-long investment in modernizing JPMC's IT infrastructure — moving data to cloud, standardizing development toolchains, building a private cloud capability, organizing data into a mesh architecture — created the foundation without which GenAI adoption at scale would have been impossible. Many financial institutions that tried to move fast on AI stumbled because their data was siloed, their infrastructure was legacy, and they couldn't get clean data into models reliably. JPMC had done that work.</w:t>
      </w:r>
    </w:p>
    <w:p w14:paraId="6770FC52"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Microsoft Azure partnership</w:t>
      </w:r>
      <w:r w:rsidRPr="002D3A83">
        <w:rPr>
          <w:rFonts w:ascii="Calibri" w:hAnsi="Calibri" w:cs="Calibri"/>
          <w:sz w:val="22"/>
          <w:szCs w:val="22"/>
        </w:rPr>
        <w:t xml:space="preserve"> was a sophisticated solution to a genuinely difficult problem. JPMC needed LLM capability but could not expose client data to external training pipelines. The contract that gave JPMC access to OpenAI's models through Azure's enterprise infrastructure, with data protection guarantees, was described as unprecedented at the time — the first use of confidential financial data at scale on shared computing infrastructure. Getting this right early was a significant enabler.</w:t>
      </w:r>
    </w:p>
    <w:p w14:paraId="748CC79A"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model-agnostic platform strategy</w:t>
      </w:r>
      <w:r w:rsidRPr="002D3A83">
        <w:rPr>
          <w:rFonts w:ascii="Calibri" w:hAnsi="Calibri" w:cs="Calibri"/>
          <w:sz w:val="22"/>
          <w:szCs w:val="22"/>
        </w:rPr>
        <w:t xml:space="preserve"> was strategically astute. By building LLM Suite to abstract from underlying providers — able to swap in GPT-4, Claude, Gemini, or others depending on performance and cost — JPMC avoided vendor lock-in in a market where model capabilities are evolving extremely rapidly. This is the "fund of funds" approach applied to AI infrastructure, and it reflects genuine sophistication about uncertainty in the technology landscape.</w:t>
      </w:r>
    </w:p>
    <w:p w14:paraId="57D25BC6"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Democratized access</w:t>
      </w:r>
      <w:r w:rsidRPr="002D3A83">
        <w:rPr>
          <w:rFonts w:ascii="Calibri" w:hAnsi="Calibri" w:cs="Calibri"/>
          <w:sz w:val="22"/>
          <w:szCs w:val="22"/>
        </w:rPr>
        <w:t xml:space="preserve"> was perhaps the most important cultural decision. The temptation in large organizations is to pilot AI with a small group of technical specialists, prove value, then scale. Erdoes's insistence that every AWM employee — administrative assistants included — receive access simultaneously was counterintuitive but correct. It generated the volume of diverse use cases and user feedback needed to discover what the technology could actually do in practice, rather than in theory. The 1,000 ideas documented in JPMC's central intake portal within weeks of opening API access reflects what happens when you give a large, diverse workforce permission to experiment.</w:t>
      </w:r>
    </w:p>
    <w:p w14:paraId="3C17AC72"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federated development model</w:t>
      </w:r>
      <w:r w:rsidRPr="002D3A83">
        <w:rPr>
          <w:rFonts w:ascii="Calibri" w:hAnsi="Calibri" w:cs="Calibri"/>
          <w:sz w:val="22"/>
          <w:szCs w:val="22"/>
        </w:rPr>
        <w:t xml:space="preserve"> — embedding data scientists with subject matter expert teams rather than centralizing them — was a key organizational innovation. It solved the coordination problem </w:t>
      </w:r>
      <w:r w:rsidRPr="002D3A83">
        <w:rPr>
          <w:rFonts w:ascii="Calibri" w:hAnsi="Calibri" w:cs="Calibri"/>
          <w:sz w:val="22"/>
          <w:szCs w:val="22"/>
        </w:rPr>
        <w:lastRenderedPageBreak/>
        <w:t>that plagues many large AI programs: the gap between people who understand the technology and people who understand the business problem. By co-locating them on the same team, with subject experts retaining ownership of content and validation, JPMC accelerated development across multiple domains simultaneously while maintaining quality control.</w:t>
      </w:r>
    </w:p>
    <w:p w14:paraId="733F725E"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Where the Approach Has Been Particularly Effective</w:t>
      </w:r>
    </w:p>
    <w:p w14:paraId="641381FF"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PlanningGPT → Turbo → Coach evolution illustrates what disciplined iterative development looks like in practice. Starting with a narrow domain (estate planning), testing rigorously (4,300 questions, expert review of responses), measuring accuracy explicitly (50% fully robust initially, 90% after iteration), and only then building toward a unified platform — this is the crawl-walk-run philosophy applied concretely. The improvement from 50% to 90% fully robust responses is not a small refinement; it is the difference between a tool that creates more risk than it reduces and one that genuinely enhances advisor capability.</w:t>
      </w:r>
    </w:p>
    <w:p w14:paraId="5B6F0B98"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governance framework — tiered risk assessment, human-in-the-loop requirements, journaling and audit trails, compliance logging — reflects an organization that took the risks of GenAI seriously rather than treating them as bureaucratic obstacles. In a regulated industry processing $10 trillion of transactions daily, this is not overcaution; it is appropriate risk management that will prove valuable as regulatory scrutiny of AI in financial services intensifies.</w:t>
      </w:r>
    </w:p>
    <w:p w14:paraId="4E1CBF01"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Where the Approach Has Limitations</w:t>
      </w:r>
    </w:p>
    <w:p w14:paraId="3FD85BB6"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case also reveals some honest tensions and potential weaknesses.</w:t>
      </w:r>
    </w:p>
    <w:p w14:paraId="6A43207E"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readiness gap on client-facing deployment</w:t>
      </w:r>
      <w:r w:rsidRPr="002D3A83">
        <w:rPr>
          <w:rFonts w:ascii="Calibri" w:hAnsi="Calibri" w:cs="Calibri"/>
          <w:sz w:val="22"/>
          <w:szCs w:val="22"/>
        </w:rPr>
        <w:t xml:space="preserve"> is significant. Heitsenrether's acknowledgment that the technology was not yet ready to be client-facing — combined with the fact that JPMC only enabled full online trading in March 2024 — suggests an organization that has historically been cautious about client-facing digital innovation, sometimes to its competitive detriment. The 120,000 client-initiated trades that followed immediately after enabling online trading suggest there was substantial unmet demand that JPMC left on the table for years.</w:t>
      </w:r>
    </w:p>
    <w:p w14:paraId="2C4277A3"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automation bias risk</w:t>
      </w:r>
      <w:r w:rsidRPr="002D3A83">
        <w:rPr>
          <w:rFonts w:ascii="Calibri" w:hAnsi="Calibri" w:cs="Calibri"/>
          <w:sz w:val="22"/>
          <w:szCs w:val="22"/>
        </w:rPr>
        <w:t xml:space="preserve"> is underappreciated in the case's framing. Bacon flagged it — employees learn to trust their tools quickly and stop triangulating against other sources — but the case does not deeply explore how JPMC is managing this structurally beyond the nominal "human in the loop" requirement. A human who reflexively approves GenAI output without genuine scrutiny is not meaningfully in the loop; they are providing compliance cover for what is functionally an automated decision. As GenAI systems become more capable and their outputs more polished and authoritative-seeming, this risk will intensify rather than diminish.</w:t>
      </w:r>
    </w:p>
    <w:p w14:paraId="0CF47758"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workforce transition question</w:t>
      </w:r>
      <w:r w:rsidRPr="002D3A83">
        <w:rPr>
          <w:rFonts w:ascii="Calibri" w:hAnsi="Calibri" w:cs="Calibri"/>
          <w:sz w:val="22"/>
          <w:szCs w:val="22"/>
        </w:rPr>
        <w:t xml:space="preserve"> receives relatively light treatment. Erdoes's framing — "let attrition be your friend" — is reasonable for a growing institution, but it obscures the real displacement effects on specific roles and career paths, particularly the apprenticeship model that the case identifies as central to advisor development. If junior advisors are no longer needed for the analytical grunt work that </w:t>
      </w:r>
      <w:r w:rsidRPr="002D3A83">
        <w:rPr>
          <w:rFonts w:ascii="Calibri" w:hAnsi="Calibri" w:cs="Calibri"/>
          <w:sz w:val="22"/>
          <w:szCs w:val="22"/>
        </w:rPr>
        <w:lastRenderedPageBreak/>
        <w:t>historically trained them, where does the next generation of senior advisors come from? This is a genuine organizational challenge that "we have lots of other jobs here" does not fully resolve.</w:t>
      </w:r>
    </w:p>
    <w:p w14:paraId="19931741"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Impact Assessment</w:t>
      </w:r>
    </w:p>
    <w:p w14:paraId="3AEFD980"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On impact, the numbers speak clearly. $1.5 billion in annual AI value, 10-20% software engineering productivity gains, 200,000 GenAI users, a 50% potential expansion in advisor capacity, and a #1 ranking among global banks for AI capability — these are not marginal results. JPMC has established a genuine and growing competitive advantage in AI that will compound as its models accumulate more proprietary feedback data than competitors can match.</w:t>
      </w:r>
    </w:p>
    <w:p w14:paraId="1E77E8E1"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pict w14:anchorId="623C2C68">
          <v:rect id="_x0000_i1130" style="width:0;height:1.5pt" o:hralign="center" o:hrstd="t" o:hr="t" fillcolor="#a0a0a0" stroked="f"/>
        </w:pict>
      </w:r>
    </w:p>
    <w:p w14:paraId="792DD05C"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3. How Coach Works — Architecture and Comparisons</w:t>
      </w:r>
    </w:p>
    <w:p w14:paraId="6D9F4458"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Coach's Architecture</w:t>
      </w:r>
    </w:p>
    <w:p w14:paraId="120DC59A"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Coach is a multi-agent orchestration system built on top of JPMC's LLM infrastructure. Its architecture has four principal components:</w:t>
      </w:r>
    </w:p>
    <w:p w14:paraId="3562727F"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natural language interface</w:t>
      </w:r>
      <w:r w:rsidRPr="002D3A83">
        <w:rPr>
          <w:rFonts w:ascii="Calibri" w:hAnsi="Calibri" w:cs="Calibri"/>
          <w:sz w:val="22"/>
          <w:szCs w:val="22"/>
        </w:rPr>
        <w:t xml:space="preserve"> is the front end — a conversational chat window embedded in Connect, the PB advisor platform. Advisors interact with Coach in plain language, asking questions or giving instructions as they would to a knowledgeable colleague.</w:t>
      </w:r>
    </w:p>
    <w:p w14:paraId="1CCF4BE7"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orchestrator agent</w:t>
      </w:r>
      <w:r w:rsidRPr="002D3A83">
        <w:rPr>
          <w:rFonts w:ascii="Calibri" w:hAnsi="Calibri" w:cs="Calibri"/>
          <w:sz w:val="22"/>
          <w:szCs w:val="22"/>
        </w:rPr>
        <w:t xml:space="preserve"> is the system's brain. When an advisor submits a query, the orchestrator parses the intent and determines which of Coach's more than two dozen specialized agents is best equipped to address it. Some queries require a single agent; complex queries requiring synthesis across multiple domains (e.g., "How should I prepare for a meeting with a client who has concentrated equity exposure and is approaching a liquidity event?") require the orchestrator to fan out to multiple agents simultaneously and then synthesize their responses.</w:t>
      </w:r>
    </w:p>
    <w:p w14:paraId="579FA79F"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agent ecosystem</w:t>
      </w:r>
      <w:r w:rsidRPr="002D3A83">
        <w:rPr>
          <w:rFonts w:ascii="Calibri" w:hAnsi="Calibri" w:cs="Calibri"/>
          <w:sz w:val="22"/>
          <w:szCs w:val="22"/>
        </w:rPr>
        <w:t xml:space="preserve"> consists of specialized agents, each trained or configured to address a particular domain — estate planning, investments, taxes, philanthropy, daily market views, client account data, and so on. Each agent draws on both structured data (client account records, transaction histories, portfolio positions) and unstructured data (JPMC research, approved marketing materials, policy documents, supplemental public sources).</w:t>
      </w:r>
    </w:p>
    <w:p w14:paraId="22EE5C46"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data layer</w:t>
      </w:r>
      <w:r w:rsidRPr="002D3A83">
        <w:rPr>
          <w:rFonts w:ascii="Calibri" w:hAnsi="Calibri" w:cs="Calibri"/>
          <w:sz w:val="22"/>
          <w:szCs w:val="22"/>
        </w:rPr>
        <w:t xml:space="preserve"> is the foundation — JPMC's data mesh architecture, which makes client and institutional data discoverable and accessible to agents without requiring copies, with governance and access controls built in. Every Coach response includes hyperlinked citations to source documents, and public source material is clearly distinguished from JPMC-proprietary content and presented in a collapsed section to encourage appropriate advisor scrutiny.</w:t>
      </w:r>
    </w:p>
    <w:p w14:paraId="2D56B748"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In terms of the system's operational flow: advisor query → natural language interface → orchestrator → relevant agents → data retrieval and synthesis → aggregated response → natural language interface → advisor, with citations. The whole interaction happens in seconds.</w:t>
      </w:r>
    </w:p>
    <w:p w14:paraId="72C2146D"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lastRenderedPageBreak/>
        <w:t>Comparison to Whoz, Manus, and OpenClaw</w:t>
      </w:r>
    </w:p>
    <w:p w14:paraId="1A96A08C"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These three systems represent different points on the agentic spectrum, and comparing them to Coach is illuminating.</w:t>
      </w:r>
    </w:p>
    <w:p w14:paraId="1F99D395"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Whoz</w:t>
      </w:r>
      <w:r w:rsidRPr="002D3A83">
        <w:rPr>
          <w:rFonts w:ascii="Calibri" w:hAnsi="Calibri" w:cs="Calibri"/>
          <w:sz w:val="22"/>
          <w:szCs w:val="22"/>
        </w:rPr>
        <w:t xml:space="preserve"> is an AI-powered workforce intelligence platform focused on skills mapping, resource allocation, and talent optimization within organizations. Its core function is matching people to projects based on skills, availability, and fit. Its architecture is fundamentally a matching and recommendation engine operating on structured HR and project data. Compared to Coach, Whoz is narrower in scope (one domain — workforce management) but potentially more autonomous in its recommendations — it is designed to suggest resource allocation decisions, not just provide information. Coach is broader in knowledge scope but currently more advisory than decisional — it informs advisors rather than acting on their behalf. Both use orchestration logic to route queries, but Whoz's domain is more constrained and its data more structured.</w:t>
      </w:r>
    </w:p>
    <w:p w14:paraId="6B56C1DC"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Manus</w:t>
      </w:r>
      <w:r w:rsidRPr="002D3A83">
        <w:rPr>
          <w:rFonts w:ascii="Calibri" w:hAnsi="Calibri" w:cs="Calibri"/>
          <w:sz w:val="22"/>
          <w:szCs w:val="22"/>
        </w:rPr>
        <w:t xml:space="preserve"> is a fully autonomous general-purpose AI agent developed by a Chinese AI startup, capable of independently executing complex multi-step tasks — browsing the web, writing and running code, managing files, filling forms, sending communications — without human intervention at each step. Manus represents the agentic frontier: it is designed to complete goals, not just answer questions. Compared to Coach, Manus is far more autonomous and far less constrained. Coach operates within carefully defined guardrails, on approved data sources, with human review requirements and compliance logging built in. Manus is designed to operate with minimal human oversight. For a regulated financial institution handling client assets, the Manus model is currently inappropriate — the liability, compliance, and accuracy requirements are incompatible with unconstrained autonomy. But Manus illustrates the direction Coach is likely to evolve toward as guardrails mature and trust builds.</w:t>
      </w:r>
    </w:p>
    <w:p w14:paraId="7A5800BE"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OpenClaw</w:t>
      </w:r>
      <w:r w:rsidRPr="002D3A83">
        <w:rPr>
          <w:rFonts w:ascii="Calibri" w:hAnsi="Calibri" w:cs="Calibri"/>
          <w:sz w:val="22"/>
          <w:szCs w:val="22"/>
        </w:rPr>
        <w:t xml:space="preserve"> (likely referring to an open-source agentic framework in the vein of AutoGPT, BabyAGI, or similar systems) represents the open-source approach to agentic AI — modular, extensible, community-developed frameworks for building autonomous agents that can plan, execute, and self-correct toward goals. The architectural principles — decomposing goals into subtasks, routing subtasks to specialized tools or agents, synthesizing results — are similar to Coach's orchestrator model. The critical differences are that Coach operates on proprietary, curated, compliance-approved data with institutional governance built in, whereas open-source agentic frameworks are designed for flexibility and extensibility at the expense of the controls that a regulated financial institution requires.</w:t>
      </w:r>
    </w:p>
    <w:p w14:paraId="1D21618D"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What Makes Coach Distinctive</w:t>
      </w:r>
    </w:p>
    <w:p w14:paraId="24A820B0"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Coach sits at a specific and deliberate point on the autonomy spectrum — more capable than a simple retrieval-augmented chatbot, but more constrained than a fully autonomous agent. Its multi-agent orchestration architecture is sophisticated; its governance and compliance infrastructure is perhaps more sophisticated still. The 12-level guardrail system developed by Urciuoli's team, the subject expert review process, the citation requirements, the distinction between JPMC and public sources — these are not features of most agentic systems, because most agentic systems are not operating in environments where a hallucinated answer could expose a firm to regulatory action or client harm.</w:t>
      </w:r>
    </w:p>
    <w:p w14:paraId="60FAB7D5"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lastRenderedPageBreak/>
        <w:t>The next evolution of Coach — already underway — is toward genuine agentic capability: systems that don't just answer questions but monitor client portfolios, identify opportunities, generate recommendations, and potentially execute actions pending advisor approval. That shift from "information on demand" to "autonomous monitoring and recommendation" is the architectural boundary Coach is approaching.</w:t>
      </w:r>
    </w:p>
    <w:p w14:paraId="0D6B538E"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pict w14:anchorId="398086E5">
          <v:rect id="_x0000_i1131" style="width:0;height:1.5pt" o:hralign="center" o:hrstd="t" o:hr="t" fillcolor="#a0a0a0" stroked="f"/>
        </w:pict>
      </w:r>
    </w:p>
    <w:p w14:paraId="697114A6"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4. Will AI Transformation Enhance or Destroy JPMC's Global Private Bank?</w:t>
      </w:r>
    </w:p>
    <w:p w14:paraId="323208A3"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The Bull Case: Enhancement</w:t>
      </w:r>
    </w:p>
    <w:p w14:paraId="44821102"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arguments for AI transformation enhancing the Private Bank's position are substantial and grounded in the case evidence.</w:t>
      </w:r>
    </w:p>
    <w:p w14:paraId="4CD3519E"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Scalable personalization</w:t>
      </w:r>
      <w:r w:rsidRPr="002D3A83">
        <w:rPr>
          <w:rFonts w:ascii="Calibri" w:hAnsi="Calibri" w:cs="Calibri"/>
          <w:sz w:val="22"/>
          <w:szCs w:val="22"/>
        </w:rPr>
        <w:t xml:space="preserve"> is the most powerful. The fundamental constraint of private banking has always been the ratio of advisors to clients. At JPMC, roughly 4,000 advisors serve 80,000 clients — about 20 clients per advisor. Truly personalized service at that ratio requires extraordinary advisors working extremely efficiently. GenAI, and particularly hyper-personalized Coach, can make every advisor operate with the client awareness and responsiveness that only the best advisors currently achieve. If Coach can surface the right insight for the right client at the right moment — proactively, based on continuous monitoring of portfolio data, market conditions, and client preferences — the value delivered per advisor-hour increases dramatically.</w:t>
      </w:r>
    </w:p>
    <w:p w14:paraId="61EEF6B5"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Competitive moat from proprietary data</w:t>
      </w:r>
      <w:r w:rsidRPr="002D3A83">
        <w:rPr>
          <w:rFonts w:ascii="Calibri" w:hAnsi="Calibri" w:cs="Calibri"/>
          <w:sz w:val="22"/>
          <w:szCs w:val="22"/>
        </w:rPr>
        <w:t xml:space="preserve"> compounds over time. JPMC's client data — transaction histories, portfolio behaviors, risk responses, life events, communication patterns across decades of relationships — is an asset that competitors cannot replicate. As GenAI models fine-tuned on this data become more capable, the quality of JPMC's personalized advice will diverge increasingly from what smaller competitors with less data can offer. The first-mover advantage in deploying these models and accumulating usage feedback creates a compounding lead.</w:t>
      </w:r>
    </w:p>
    <w:p w14:paraId="277B7591"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Market expansion</w:t>
      </w:r>
      <w:r w:rsidRPr="002D3A83">
        <w:rPr>
          <w:rFonts w:ascii="Calibri" w:hAnsi="Calibri" w:cs="Calibri"/>
          <w:sz w:val="22"/>
          <w:szCs w:val="22"/>
        </w:rPr>
        <w:t xml:space="preserve"> is a genuine opportunity. GenAI can enable JPMC to serve segments of the wealth market that are currently underserved — clients with $2-10 million in assets who don't quite qualify for the full PB service, or clients in geographies where JPMC lacks sufficient advisor presence. A GenAI-assisted service tier could extend the Private Bank's reach without proportional cost increases.</w:t>
      </w:r>
    </w:p>
    <w:p w14:paraId="465A0029"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Advisor quality elevation</w:t>
      </w:r>
      <w:r w:rsidRPr="002D3A83">
        <w:rPr>
          <w:rFonts w:ascii="Calibri" w:hAnsi="Calibri" w:cs="Calibri"/>
          <w:sz w:val="22"/>
          <w:szCs w:val="22"/>
        </w:rPr>
        <w:t xml:space="preserve"> is the near-term reality already visible in the case. Advisors freed from information retrieval, memo writing, and meeting preparation can spend more time on the genuinely high-value activities — understanding client needs, building trust, navigating complex family dynamics, making nuanced judgment calls. The 30% improvement in Connect Coach pilot user experience and 188% improvement in Sales Assist gross sales per user cited in Exhibit 2 suggest that productivity gains translate directly into commercial outcomes.</w:t>
      </w:r>
    </w:p>
    <w:p w14:paraId="05C4FF7D"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The Bear Case: Destruction</w:t>
      </w:r>
    </w:p>
    <w:p w14:paraId="718A02AC"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lastRenderedPageBreak/>
        <w:t>The arguments for AI transformation threatening the Private Bank's value proposition deserve equally serious consideration.</w:t>
      </w:r>
    </w:p>
    <w:p w14:paraId="56957D64"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Commoditization of advice</w:t>
      </w:r>
      <w:r w:rsidRPr="002D3A83">
        <w:rPr>
          <w:rFonts w:ascii="Calibri" w:hAnsi="Calibri" w:cs="Calibri"/>
          <w:sz w:val="22"/>
          <w:szCs w:val="22"/>
        </w:rPr>
        <w:t xml:space="preserve"> is the central risk. The traditional private banking value proposition rests partly on information asymmetry — the advisor knows things the client doesn't, has access to research and expertise the client can't easily replicate, and can synthesize complex information in ways that justify premium fees. GenAI erodes this asymmetry directly. If Coach can provide any advisor with comprehensive, synthesized, personalized guidance on any topic in seconds, the marginal value of the advisor's own knowledge diminishes. And if a client-facing version of Coach can provide that same guidance directly to clients, the advisor's role as information intermediary is further compressed.</w:t>
      </w:r>
    </w:p>
    <w:p w14:paraId="3FF83760"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apprenticeship model disruption</w:t>
      </w:r>
      <w:r w:rsidRPr="002D3A83">
        <w:rPr>
          <w:rFonts w:ascii="Calibri" w:hAnsi="Calibri" w:cs="Calibri"/>
          <w:sz w:val="22"/>
          <w:szCs w:val="22"/>
        </w:rPr>
        <w:t xml:space="preserve"> is a slow-moving but serious threat. The teaching-hospital model that JPMC uses to develop advisors works because junior advisors learn by doing the analytical work that senior advisors need — research, memo writing, meeting preparation, client analysis. GenAI is automating precisely those tasks. If junior advisors are no longer needed for that work, the pipeline of trained senior advisors a decade from now may be thinner and less developed than it would otherwise be. Bob Blanch's emphasis on the high correlation between going through the apprenticeship program and advisor success is a warning about what happens if that pipeline is disrupted.</w:t>
      </w:r>
    </w:p>
    <w:p w14:paraId="307133BE"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Client expectations and competitive alternatives</w:t>
      </w:r>
      <w:r w:rsidRPr="002D3A83">
        <w:rPr>
          <w:rFonts w:ascii="Calibri" w:hAnsi="Calibri" w:cs="Calibri"/>
          <w:sz w:val="22"/>
          <w:szCs w:val="22"/>
        </w:rPr>
        <w:t xml:space="preserve"> are evolving rapidly. Fintech competitors — wealth management platforms, robo-advisors with sophisticated GenAI integration, and potentially Big Tech entrants — will offer increasingly capable client-facing AI tools. If JPMC is slow to release client-facing GenAI capabilities while competitors move faster, the bank risks losing the segment of clients who prefer self-service and resent paying advisory fees for services they could access directly. The 120,000 trades executed immediately after JPMC enabled online trading in March 2024 — after years of not offering it — is a cautionary data point about the cost of caution.</w:t>
      </w:r>
    </w:p>
    <w:p w14:paraId="01DAE003" w14:textId="77777777" w:rsidR="002D3A83" w:rsidRPr="002D3A83" w:rsidRDefault="002D3A83" w:rsidP="002D3A83">
      <w:pPr>
        <w:rPr>
          <w:rFonts w:ascii="Calibri" w:hAnsi="Calibri" w:cs="Calibri"/>
          <w:sz w:val="22"/>
          <w:szCs w:val="22"/>
        </w:rPr>
      </w:pPr>
      <w:r w:rsidRPr="002D3A83">
        <w:rPr>
          <w:rFonts w:ascii="Calibri" w:hAnsi="Calibri" w:cs="Calibri"/>
          <w:b/>
          <w:bCs/>
          <w:sz w:val="22"/>
          <w:szCs w:val="22"/>
        </w:rPr>
        <w:t>The trust and relationship question</w:t>
      </w:r>
      <w:r w:rsidRPr="002D3A83">
        <w:rPr>
          <w:rFonts w:ascii="Calibri" w:hAnsi="Calibri" w:cs="Calibri"/>
          <w:sz w:val="22"/>
          <w:szCs w:val="22"/>
        </w:rPr>
        <w:t xml:space="preserve"> is genuinely unresolved. Private banking at the level JPMC operates is fundamentally a trust business. Clients are sharing intimate details of their financial lives, family situations, tax circumstances, and long-term goals with advisors they have come to trust over years or decades. The question of whether a client will feel that their relationship has been enhanced or cheapened by GenAI intermediation is not a technical question — it is a human one. Some clients will welcome it. Others, particularly older ultra-high-net-worth clients, may view it as a signal that JPMC is less invested in their personal relationship. Managing this perception carefully will be critical.</w:t>
      </w:r>
    </w:p>
    <w:p w14:paraId="44D07A5A"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The Most Likely Outcome</w:t>
      </w:r>
    </w:p>
    <w:p w14:paraId="0CF2AF6F"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most probable scenario over the next two to three years is that AI transformation enhances JPMC's Private Bank position — but unevenly, and with real risks that require active management.</w:t>
      </w:r>
    </w:p>
    <w:p w14:paraId="5540EC8C"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 xml:space="preserve">The enhancement will be clearest for advisors who embrace the tools, for clients who value efficiency and proactive outreach, and for the segments of the wealth market that GenAI makes it economical to serve. The risk of destruction is highest if JPMC either moves too slowly on client-facing capabilities (losing the self-service segment) or too quickly without adequate quality and trust safeguards (damaging </w:t>
      </w:r>
      <w:r w:rsidRPr="002D3A83">
        <w:rPr>
          <w:rFonts w:ascii="Calibri" w:hAnsi="Calibri" w:cs="Calibri"/>
          <w:sz w:val="22"/>
          <w:szCs w:val="22"/>
        </w:rPr>
        <w:lastRenderedPageBreak/>
        <w:t>the relationship-based brand). The apprenticeship pipeline question is the sleeper risk that could matter most a decade from now.</w:t>
      </w:r>
    </w:p>
    <w:p w14:paraId="36BF8BAE"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competitive moat argument is compelling but not guaranteed. It depends on JPMC continuing to invest at the pace it has established and on competitors not closing the gap. Given the pace at which foundation model capabilities are improving — making sophisticated GenAI accessible to smaller firms at declining cost — the technology advantage may compress faster than the data advantage, which is the more durable differentiator.</w:t>
      </w:r>
    </w:p>
    <w:p w14:paraId="6D5E5D5D"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pict w14:anchorId="12C3D55D">
          <v:rect id="_x0000_i1132" style="width:0;height:1.5pt" o:hralign="center" o:hrstd="t" o:hr="t" fillcolor="#a0a0a0" stroked="f"/>
        </w:pict>
      </w:r>
    </w:p>
    <w:p w14:paraId="583099BE"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5. What Should Mary Erdoes Do?</w:t>
      </w:r>
    </w:p>
    <w:p w14:paraId="5B86E9A9"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Framing the Decision</w:t>
      </w:r>
    </w:p>
    <w:p w14:paraId="61BED7DA"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Erdoes's question — should JPMC release Coach to clients? — is actually three distinct questions that should be separated: Should it be done? When? And in what form? The answers to each are different.</w:t>
      </w:r>
    </w:p>
    <w:p w14:paraId="716BAFC4"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Should It Be Done?</w:t>
      </w:r>
    </w:p>
    <w:p w14:paraId="4B42EFC8"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Yes, ultimately — but not in the form Coach currently takes, and not immediately. The case makes clear that the technology is not yet client-ready in Heitsenrether's assessment, and the stakes of a poorly executed client-facing release are high: reputational damage in a trust-based business, regulatory exposure, and potential client harm from bad advice acted upon without the advisor filter.</w:t>
      </w:r>
    </w:p>
    <w:p w14:paraId="61F5B5FA"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But the direction of travel is unambiguous. Clients increasingly expect self-service options. Competitors will offer them. The 120,000 trades executed after JPMC enabled online trading illustrates that demand exists and that withholding digital capabilities does not protect the relationship — it just frustrates clients. The question is not whether to release client-facing GenAI, but how to do it in a way that enhances rather than threatens the PB value proposition.</w:t>
      </w:r>
    </w:p>
    <w:p w14:paraId="2A532E5C"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What Form Should It Take First?</w:t>
      </w:r>
    </w:p>
    <w:p w14:paraId="54264089"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voice-enabled Coach in advisor-client meetings is the right intermediate step, and Erdoes should pursue it before a standalone client-facing release. Here is the logic:</w:t>
      </w:r>
    </w:p>
    <w:p w14:paraId="5A869BB0"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Voice-enabled Coach in meetings keeps the advisor firmly in the relationship while making the advisor more capable. If a client asks during a meeting about the tax implications of selling a concentrated position, the advisor can query Coach in real time and synthesize the answer — appearing more knowledgeable and responsive, not less relevant. The client experiences better service; the advisor retains the relationship; the technology enhances rather than replaces.</w:t>
      </w:r>
    </w:p>
    <w:p w14:paraId="790F998F"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This intermediate step also generates invaluable data. Which questions do clients actually ask in meetings? Which Coach responses require advisor correction or supplementation? Where does the technology fall short? This real-world feedback would accelerate the improvement of Coach's accuracy and relevance for eventual standalone client deployment while building trust in the system through demonstrated performance.</w:t>
      </w:r>
    </w:p>
    <w:p w14:paraId="6682EEFE"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lastRenderedPageBreak/>
        <w:t>The voice-enabled meeting model also creates a natural on-ramp for client familiarity with AI-assisted advice. Clients who see Coach used transparently and effectively in meetings will be more comfortable with a self-service version later. Clients who are surprised by a sudden client-facing release without this context may be more skeptical.</w:t>
      </w:r>
    </w:p>
    <w:p w14:paraId="481783C7"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When Should a Standalone Client-Facing Version Launch?</w:t>
      </w:r>
    </w:p>
    <w:p w14:paraId="49274CA6"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Erdoes should define explicit readiness criteria rather than a fixed timeline — because the right answer is "when the technology meets the bar," not "in 18 months." The PlanningGPT testing framework provides a template: define the accuracy threshold required for client-facing deployment (probably higher than the 90% fully robust standard used for advisors), test systematically against that threshold, and launch when the bar is met.</w:t>
      </w:r>
    </w:p>
    <w:p w14:paraId="03B4509A"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Three specific conditions should gate the client-facing launch. First, hallucination rates should be reduced to a level where incorrect outputs are genuinely rare and the system reliably flags uncertainty rather than confabulating confidence. Second, the regulatory framework for client-facing AI advice should be sufficiently clear that JPMC is not creating undefined liability. Third, the client experience design should clearly position the tool as enhancing rather than replacing the advisor relationship — with easy escalation to human advisors, transparent sourcing, and explicit disclaimers about the nature of AI-generated information.</w:t>
      </w:r>
    </w:p>
    <w:p w14:paraId="3784E4AF"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What Form Should the Client Release Take?</w:t>
      </w:r>
    </w:p>
    <w:p w14:paraId="0045E505"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initial client-facing release should be deliberately constrained — not a full version of Coach, but a curated subset of capabilities where the risk-reward ratio is most favorable. The strongest candidate is information and education: giving clients access to JPMC research, market commentary, and explanations of financial concepts they can explore on their own. This creates genuine client value, builds familiarity with the interface, and carries lower regulatory risk than personalized investment recommendations.</w:t>
      </w:r>
    </w:p>
    <w:p w14:paraId="146FA352"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Personalized investment recommendations — the most commercially valuable but also most regulated and highest-stakes capability — should come later, once the information and education tier has established trust, generated feedback data, and demonstrated reliability. The progression mirrors Coach's own development: start narrow, test rigorously, expand only when performance warrants.</w:t>
      </w:r>
    </w:p>
    <w:p w14:paraId="19D9449A"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What Erdoes Should Not Do</w:t>
      </w:r>
    </w:p>
    <w:p w14:paraId="3F29988D"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Erdoes should resist two failure modes that the case implicitly warns against.</w:t>
      </w:r>
    </w:p>
    <w:p w14:paraId="39CE25A2"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The first is moving too slowly out of institutional caution. The online trading delay — not offering a basic capability clients clearly wanted until 2024 — is a cautionary example. In a market where fintech competitors and potentially Big Tech entrants are building client-facing wealth management AI aggressively, JPMC cannot afford to let perfect be the enemy of good. The voice-enabled meeting integration and the information/education tier of client-facing Coach are ready enough to move on now.</w:t>
      </w:r>
    </w:p>
    <w:p w14:paraId="34867DB0"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lastRenderedPageBreak/>
        <w:t>The second is moving too fast without adequate quality assurance in the name of competitive urgency. The trust that makes JPMC's Private Bank valuable took decades to build and can be damaged quickly by a high-profile AI failure — a hallucinated tax recommendation that a client acts on, a compliance breach, or a data security incident. The governance infrastructure JPMC has built is a competitive asset, not a bureaucratic obstacle, and Erdoes should treat it as such rather than seeking workarounds.</w:t>
      </w:r>
    </w:p>
    <w:p w14:paraId="26908781" w14:textId="77777777" w:rsidR="002D3A83" w:rsidRPr="002D3A83" w:rsidRDefault="002D3A83" w:rsidP="002D3A83">
      <w:pPr>
        <w:rPr>
          <w:rFonts w:ascii="Calibri" w:hAnsi="Calibri" w:cs="Calibri"/>
          <w:b/>
          <w:bCs/>
          <w:sz w:val="22"/>
          <w:szCs w:val="22"/>
        </w:rPr>
      </w:pPr>
      <w:r w:rsidRPr="002D3A83">
        <w:rPr>
          <w:rFonts w:ascii="Calibri" w:hAnsi="Calibri" w:cs="Calibri"/>
          <w:b/>
          <w:bCs/>
          <w:sz w:val="22"/>
          <w:szCs w:val="22"/>
        </w:rPr>
        <w:t>The Recommendation</w:t>
      </w:r>
    </w:p>
    <w:p w14:paraId="11AB2D0B"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Erdoes should take three actions in sequence. In the near term — the next six months — she should launch the voice-enabled Coach integration in advisor-client meetings, establishing it as standard practice for PB advisors. This generates data, builds client familiarity, and demonstrates commitment to AI-enhanced service without the risks of standalone client deployment.</w:t>
      </w:r>
    </w:p>
    <w:p w14:paraId="6EEBB5EA"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In the medium term — the next twelve to eighteen months — she should launch a constrained client-facing information and education tier, giving clients direct access to JPMC research, market commentary, and financial education content through a Coach interface, with clear advisor escalation pathways and explicit AI disclosure.</w:t>
      </w:r>
    </w:p>
    <w:p w14:paraId="63AED7AE" w14:textId="77777777" w:rsidR="002D3A83" w:rsidRPr="002D3A83" w:rsidRDefault="002D3A83" w:rsidP="002D3A83">
      <w:pPr>
        <w:rPr>
          <w:rFonts w:ascii="Calibri" w:hAnsi="Calibri" w:cs="Calibri"/>
          <w:sz w:val="22"/>
          <w:szCs w:val="22"/>
        </w:rPr>
      </w:pPr>
      <w:r w:rsidRPr="002D3A83">
        <w:rPr>
          <w:rFonts w:ascii="Calibri" w:hAnsi="Calibri" w:cs="Calibri"/>
          <w:sz w:val="22"/>
          <w:szCs w:val="22"/>
        </w:rPr>
        <w:t>In the longer term — conditional on performance against defined accuracy thresholds and regulatory clarity — she should move toward hyper-personalized client-facing advisory capabilities, positioning JPMC's Private Bank as the firm that offers both the deepest human relationships and the most capable digital tools — not a trade-off between the two, but a genuine integration of both.</w:t>
      </w:r>
    </w:p>
    <w:p w14:paraId="0164F523" w14:textId="5065BB49" w:rsidR="002D3A83" w:rsidRPr="00AE27E5" w:rsidRDefault="002D3A83" w:rsidP="00AE27E5">
      <w:pPr>
        <w:rPr>
          <w:rFonts w:ascii="Calibri" w:hAnsi="Calibri" w:cs="Calibri"/>
          <w:sz w:val="22"/>
          <w:szCs w:val="22"/>
        </w:rPr>
      </w:pPr>
      <w:r w:rsidRPr="002D3A83">
        <w:rPr>
          <w:rFonts w:ascii="Calibri" w:hAnsi="Calibri" w:cs="Calibri"/>
          <w:sz w:val="22"/>
          <w:szCs w:val="22"/>
        </w:rPr>
        <w:t>The framing Erdoes should use internally is not "should we release Coach to clients?" but "how do we use AI to make the JPMC Private Bank the most valuable wealth management relationship in the world?" That framing keeps the human relationship at the center, positions technology as the enhancer, and gives the organization a north star that is commercially ambitious and strategically coherent.</w:t>
      </w:r>
    </w:p>
    <w:p w14:paraId="0036F642" w14:textId="77777777" w:rsidR="00946174" w:rsidRPr="00040EED" w:rsidRDefault="00946174">
      <w:pPr>
        <w:rPr>
          <w:rFonts w:ascii="Calibri" w:hAnsi="Calibri" w:cs="Calibri"/>
          <w:sz w:val="22"/>
          <w:szCs w:val="22"/>
        </w:rPr>
      </w:pPr>
    </w:p>
    <w:sectPr w:rsidR="00946174" w:rsidRPr="00040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E5"/>
    <w:rsid w:val="00040EED"/>
    <w:rsid w:val="002D3A83"/>
    <w:rsid w:val="00946174"/>
    <w:rsid w:val="00AE27E5"/>
    <w:rsid w:val="00AF384F"/>
    <w:rsid w:val="00F5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D6EB"/>
  <w15:chartTrackingRefBased/>
  <w15:docId w15:val="{7FAC707E-196C-4D45-9973-D335AA5CC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7E5"/>
    <w:rPr>
      <w:rFonts w:eastAsiaTheme="majorEastAsia" w:cstheme="majorBidi"/>
      <w:color w:val="272727" w:themeColor="text1" w:themeTint="D8"/>
    </w:rPr>
  </w:style>
  <w:style w:type="paragraph" w:styleId="Title">
    <w:name w:val="Title"/>
    <w:basedOn w:val="Normal"/>
    <w:next w:val="Normal"/>
    <w:link w:val="TitleChar"/>
    <w:uiPriority w:val="10"/>
    <w:qFormat/>
    <w:rsid w:val="00AE2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7E5"/>
    <w:pPr>
      <w:spacing w:before="160"/>
      <w:jc w:val="center"/>
    </w:pPr>
    <w:rPr>
      <w:i/>
      <w:iCs/>
      <w:color w:val="404040" w:themeColor="text1" w:themeTint="BF"/>
    </w:rPr>
  </w:style>
  <w:style w:type="character" w:customStyle="1" w:styleId="QuoteChar">
    <w:name w:val="Quote Char"/>
    <w:basedOn w:val="DefaultParagraphFont"/>
    <w:link w:val="Quote"/>
    <w:uiPriority w:val="29"/>
    <w:rsid w:val="00AE27E5"/>
    <w:rPr>
      <w:i/>
      <w:iCs/>
      <w:color w:val="404040" w:themeColor="text1" w:themeTint="BF"/>
    </w:rPr>
  </w:style>
  <w:style w:type="paragraph" w:styleId="ListParagraph">
    <w:name w:val="List Paragraph"/>
    <w:basedOn w:val="Normal"/>
    <w:uiPriority w:val="34"/>
    <w:qFormat/>
    <w:rsid w:val="00AE27E5"/>
    <w:pPr>
      <w:ind w:left="720"/>
      <w:contextualSpacing/>
    </w:pPr>
  </w:style>
  <w:style w:type="character" w:styleId="IntenseEmphasis">
    <w:name w:val="Intense Emphasis"/>
    <w:basedOn w:val="DefaultParagraphFont"/>
    <w:uiPriority w:val="21"/>
    <w:qFormat/>
    <w:rsid w:val="00AE27E5"/>
    <w:rPr>
      <w:i/>
      <w:iCs/>
      <w:color w:val="0F4761" w:themeColor="accent1" w:themeShade="BF"/>
    </w:rPr>
  </w:style>
  <w:style w:type="paragraph" w:styleId="IntenseQuote">
    <w:name w:val="Intense Quote"/>
    <w:basedOn w:val="Normal"/>
    <w:next w:val="Normal"/>
    <w:link w:val="IntenseQuoteChar"/>
    <w:uiPriority w:val="30"/>
    <w:qFormat/>
    <w:rsid w:val="00AE2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7E5"/>
    <w:rPr>
      <w:i/>
      <w:iCs/>
      <w:color w:val="0F4761" w:themeColor="accent1" w:themeShade="BF"/>
    </w:rPr>
  </w:style>
  <w:style w:type="character" w:styleId="IntenseReference">
    <w:name w:val="Intense Reference"/>
    <w:basedOn w:val="DefaultParagraphFont"/>
    <w:uiPriority w:val="32"/>
    <w:qFormat/>
    <w:rsid w:val="00AE2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6723</Words>
  <Characters>38323</Characters>
  <Application>Microsoft Office Word</Application>
  <DocSecurity>0</DocSecurity>
  <Lines>319</Lines>
  <Paragraphs>89</Paragraphs>
  <ScaleCrop>false</ScaleCrop>
  <Company/>
  <LinksUpToDate>false</LinksUpToDate>
  <CharactersWithSpaces>44957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Cameryn McCormack</dc:creator>
  <cp:keywords/>
  <dc:description/>
  <cp:lastModifiedBy>Cameryn McCormack</cp:lastModifiedBy>
  <cp:revision>3</cp:revision>
  <dcterms:created xsi:type="dcterms:W3CDTF">2026-04-17T14:54:00Z</dcterms:created>
  <dcterms:modified xsi:type="dcterms:W3CDTF">2026-04-17T15:03:00Z</dcterms:modified>
</cp:coreProperties>
</file>