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1C572" w14:textId="77777777" w:rsidR="00FB1DC4" w:rsidRPr="00FB1DC4" w:rsidRDefault="00FB1DC4" w:rsidP="00FB1DC4">
      <w:pPr>
        <w:rPr>
          <w:rFonts w:ascii="Calibri" w:hAnsi="Calibri" w:cs="Calibri"/>
          <w:b/>
          <w:bCs/>
          <w:sz w:val="22"/>
          <w:szCs w:val="22"/>
        </w:rPr>
      </w:pPr>
      <w:r w:rsidRPr="00FB1DC4">
        <w:rPr>
          <w:rFonts w:ascii="Calibri" w:hAnsi="Calibri" w:cs="Calibri"/>
          <w:b/>
          <w:bCs/>
          <w:sz w:val="22"/>
          <w:szCs w:val="22"/>
        </w:rPr>
        <w:t>NVIDIA and the Sovereignty Claws: Summary</w:t>
      </w:r>
    </w:p>
    <w:p w14:paraId="53A06B46"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Setting</w:t>
      </w:r>
      <w:r w:rsidRPr="00FB1DC4">
        <w:rPr>
          <w:rFonts w:ascii="Calibri" w:hAnsi="Calibri" w:cs="Calibri"/>
          <w:sz w:val="22"/>
          <w:szCs w:val="22"/>
        </w:rPr>
        <w:t xml:space="preserve"> The case opens in March 2026, days before NVIDIA's annual GTC developer conference, where CEO Jensen Huang is expected to unveil a new platform called </w:t>
      </w:r>
      <w:proofErr w:type="spellStart"/>
      <w:r w:rsidRPr="00FB1DC4">
        <w:rPr>
          <w:rFonts w:ascii="Calibri" w:hAnsi="Calibri" w:cs="Calibri"/>
          <w:sz w:val="22"/>
          <w:szCs w:val="22"/>
        </w:rPr>
        <w:t>NemoClaw</w:t>
      </w:r>
      <w:proofErr w:type="spellEnd"/>
      <w:r w:rsidRPr="00FB1DC4">
        <w:rPr>
          <w:rFonts w:ascii="Calibri" w:hAnsi="Calibri" w:cs="Calibri"/>
          <w:sz w:val="22"/>
          <w:szCs w:val="22"/>
        </w:rPr>
        <w:t>. The case explores the strategic pressures NVIDIA faces as AI evolves from chatbots to autonomous agents — and as both nations and corporations demand greater control over their AI systems.</w:t>
      </w:r>
    </w:p>
    <w:p w14:paraId="4C40337F"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NVIDIA's Rise</w:t>
      </w:r>
      <w:r w:rsidRPr="00FB1DC4">
        <w:rPr>
          <w:rFonts w:ascii="Calibri" w:hAnsi="Calibri" w:cs="Calibri"/>
          <w:sz w:val="22"/>
          <w:szCs w:val="22"/>
        </w:rPr>
        <w:t xml:space="preserve"> Founded in 1993 as a gaming graphics company, NVIDIA pivoted into AI infrastructure by recognizing that its GPUs — designed for parallel computation — were ideal for training neural networks. Its CUDA software platform, launched in 2006, deepened its moat by making GPUs far easier to program at scale. After OpenAI launched ChatGPT in 2022, demand for NVIDIA's chips exploded. By early 2026, the company held over 90% of the AI chip market, had crossed a $5 trillion valuation, and posted $216 billion in revenue for fiscal 2026 — up 65% year over year. Its biggest customers — Microsoft, Google, Meta, Amazon, OpenAI — are also its biggest potential competitive threats, as each is developing its own AI chips.</w:t>
      </w:r>
    </w:p>
    <w:p w14:paraId="56046B86"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Rise of AI Agents and "Claws"</w:t>
      </w:r>
      <w:r w:rsidRPr="00FB1DC4">
        <w:rPr>
          <w:rFonts w:ascii="Calibri" w:hAnsi="Calibri" w:cs="Calibri"/>
          <w:sz w:val="22"/>
          <w:szCs w:val="22"/>
        </w:rPr>
        <w:t xml:space="preserve"> The case tracks the emergence of a new category of AI system called "</w:t>
      </w:r>
      <w:proofErr w:type="gramStart"/>
      <w:r w:rsidRPr="00FB1DC4">
        <w:rPr>
          <w:rFonts w:ascii="Calibri" w:hAnsi="Calibri" w:cs="Calibri"/>
          <w:sz w:val="22"/>
          <w:szCs w:val="22"/>
        </w:rPr>
        <w:t>claws" —</w:t>
      </w:r>
      <w:proofErr w:type="gramEnd"/>
      <w:r w:rsidRPr="00FB1DC4">
        <w:rPr>
          <w:rFonts w:ascii="Calibri" w:hAnsi="Calibri" w:cs="Calibri"/>
          <w:sz w:val="22"/>
          <w:szCs w:val="22"/>
        </w:rPr>
        <w:t xml:space="preserve"> more autonomous agents that can proactively plan, spawn sub-agents, execute multi-step tasks, and act continuously without human prompting. The most prominent example is </w:t>
      </w:r>
      <w:proofErr w:type="spellStart"/>
      <w:r w:rsidRPr="00FB1DC4">
        <w:rPr>
          <w:rFonts w:ascii="Calibri" w:hAnsi="Calibri" w:cs="Calibri"/>
          <w:sz w:val="22"/>
          <w:szCs w:val="22"/>
        </w:rPr>
        <w:t>OpenClaw</w:t>
      </w:r>
      <w:proofErr w:type="spellEnd"/>
      <w:r w:rsidRPr="00FB1DC4">
        <w:rPr>
          <w:rFonts w:ascii="Calibri" w:hAnsi="Calibri" w:cs="Calibri"/>
          <w:sz w:val="22"/>
          <w:szCs w:val="22"/>
        </w:rPr>
        <w:t xml:space="preserve">, an open-source tool that became the fastest-growing repository in GitHub history. </w:t>
      </w:r>
      <w:proofErr w:type="spellStart"/>
      <w:r w:rsidRPr="00FB1DC4">
        <w:rPr>
          <w:rFonts w:ascii="Calibri" w:hAnsi="Calibri" w:cs="Calibri"/>
          <w:sz w:val="22"/>
          <w:szCs w:val="22"/>
        </w:rPr>
        <w:t>OpenClaw</w:t>
      </w:r>
      <w:proofErr w:type="spellEnd"/>
      <w:r w:rsidRPr="00FB1DC4">
        <w:rPr>
          <w:rFonts w:ascii="Calibri" w:hAnsi="Calibri" w:cs="Calibri"/>
          <w:sz w:val="22"/>
          <w:szCs w:val="22"/>
        </w:rPr>
        <w:t xml:space="preserve"> runs locally on a user's machine, works across platforms and models, and markets itself as "private by default." Huang called it arguably the most important software release ever. But </w:t>
      </w:r>
      <w:proofErr w:type="spellStart"/>
      <w:r w:rsidRPr="00FB1DC4">
        <w:rPr>
          <w:rFonts w:ascii="Calibri" w:hAnsi="Calibri" w:cs="Calibri"/>
          <w:sz w:val="22"/>
          <w:szCs w:val="22"/>
        </w:rPr>
        <w:t>OpenClaw</w:t>
      </w:r>
      <w:proofErr w:type="spellEnd"/>
      <w:r w:rsidRPr="00FB1DC4">
        <w:rPr>
          <w:rFonts w:ascii="Calibri" w:hAnsi="Calibri" w:cs="Calibri"/>
          <w:sz w:val="22"/>
          <w:szCs w:val="22"/>
        </w:rPr>
        <w:t xml:space="preserve"> also carried serious security risks — researchers documented that roughly 12% of skills in its marketplace were malicious, and one poorly configured deployment downloaded over 16 million files.</w:t>
      </w:r>
    </w:p>
    <w:p w14:paraId="029DCC19"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AI Sovereignty: National and Corporate</w:t>
      </w:r>
      <w:r w:rsidRPr="00FB1DC4">
        <w:rPr>
          <w:rFonts w:ascii="Calibri" w:hAnsi="Calibri" w:cs="Calibri"/>
          <w:sz w:val="22"/>
          <w:szCs w:val="22"/>
        </w:rPr>
        <w:t xml:space="preserve"> </w:t>
      </w:r>
      <w:proofErr w:type="gramStart"/>
      <w:r w:rsidRPr="00FB1DC4">
        <w:rPr>
          <w:rFonts w:ascii="Calibri" w:hAnsi="Calibri" w:cs="Calibri"/>
          <w:sz w:val="22"/>
          <w:szCs w:val="22"/>
        </w:rPr>
        <w:t>The</w:t>
      </w:r>
      <w:proofErr w:type="gramEnd"/>
      <w:r w:rsidRPr="00FB1DC4">
        <w:rPr>
          <w:rFonts w:ascii="Calibri" w:hAnsi="Calibri" w:cs="Calibri"/>
          <w:sz w:val="22"/>
          <w:szCs w:val="22"/>
        </w:rPr>
        <w:t xml:space="preserve"> rise of agents intensifies existing concerns about AI sovereignty — who controls the data, models, infrastructure, and outputs of AI systems. The case identifies four layers of sovereignty: the chip and hardware supply chain (dominated by NVIDIA, TSMC, and a handful of memory makers), training data (frontier models embed cultural and linguistic assumptions from their training corpus), model weights (open vs. proprietary), and data centers (foreign-hosted infrastructure subjects data to foreign law).</w:t>
      </w:r>
    </w:p>
    <w:p w14:paraId="7AAB9B71"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India is the case's primary national example. Prime Minister Modi articulated his M.A.N.A.V. vision — emphasizing moral AI, accountable governance, national sovereignty, accessibility, and legitimacy. India's Digital Personal Data Protection (DPDP) Act, with Phase 2 taking effect in November 2026, imposes significant compliance obligations on large technology companies processing Indian users' data, including requirements around consent, data erasure, and auditing. The case notes a fundamental tension: India's hundreds of millions of free-tier AI users are generating training data that flows back to foreign companies, improving those companies' models in domains where India wants to build domestic advantage.</w:t>
      </w:r>
    </w:p>
    <w:p w14:paraId="24773F62"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Corporate sovereignty concerns mirror national ones. Microsoft's CEO Satya Nadella argued that firms that cannot embed their tacit knowledge in models they control are "leaking enterprise value." The fear </w:t>
      </w:r>
      <w:r w:rsidRPr="00FB1DC4">
        <w:rPr>
          <w:rFonts w:ascii="Calibri" w:hAnsi="Calibri" w:cs="Calibri"/>
          <w:sz w:val="22"/>
          <w:szCs w:val="22"/>
        </w:rPr>
        <w:lastRenderedPageBreak/>
        <w:t>of AI "</w:t>
      </w:r>
      <w:proofErr w:type="gramStart"/>
      <w:r w:rsidRPr="00FB1DC4">
        <w:rPr>
          <w:rFonts w:ascii="Calibri" w:hAnsi="Calibri" w:cs="Calibri"/>
          <w:sz w:val="22"/>
          <w:szCs w:val="22"/>
        </w:rPr>
        <w:t>Sherlocking" —</w:t>
      </w:r>
      <w:proofErr w:type="gramEnd"/>
      <w:r w:rsidRPr="00FB1DC4">
        <w:rPr>
          <w:rFonts w:ascii="Calibri" w:hAnsi="Calibri" w:cs="Calibri"/>
          <w:sz w:val="22"/>
          <w:szCs w:val="22"/>
        </w:rPr>
        <w:t xml:space="preserve"> where large AI providers mine </w:t>
      </w:r>
      <w:proofErr w:type="gramStart"/>
      <w:r w:rsidRPr="00FB1DC4">
        <w:rPr>
          <w:rFonts w:ascii="Calibri" w:hAnsi="Calibri" w:cs="Calibri"/>
          <w:sz w:val="22"/>
          <w:szCs w:val="22"/>
        </w:rPr>
        <w:t>usage</w:t>
      </w:r>
      <w:proofErr w:type="gramEnd"/>
      <w:r w:rsidRPr="00FB1DC4">
        <w:rPr>
          <w:rFonts w:ascii="Calibri" w:hAnsi="Calibri" w:cs="Calibri"/>
          <w:sz w:val="22"/>
          <w:szCs w:val="22"/>
        </w:rPr>
        <w:t xml:space="preserve"> data to copy products built on top of their platforms — adds to corporate anxiety about dependence on outside AI infrastructure.</w:t>
      </w:r>
    </w:p>
    <w:p w14:paraId="0DC74A6D" w14:textId="77777777" w:rsidR="00FB1DC4" w:rsidRPr="00FB1DC4" w:rsidRDefault="00FB1DC4" w:rsidP="00FB1DC4">
      <w:pPr>
        <w:rPr>
          <w:rFonts w:ascii="Calibri" w:hAnsi="Calibri" w:cs="Calibri"/>
          <w:sz w:val="22"/>
          <w:szCs w:val="22"/>
        </w:rPr>
      </w:pPr>
      <w:proofErr w:type="spellStart"/>
      <w:r w:rsidRPr="00FB1DC4">
        <w:rPr>
          <w:rFonts w:ascii="Calibri" w:hAnsi="Calibri" w:cs="Calibri"/>
          <w:b/>
          <w:bCs/>
          <w:sz w:val="22"/>
          <w:szCs w:val="22"/>
        </w:rPr>
        <w:t>NemoClaw</w:t>
      </w:r>
      <w:proofErr w:type="spellEnd"/>
      <w:r w:rsidRPr="00FB1DC4">
        <w:rPr>
          <w:rFonts w:ascii="Calibri" w:hAnsi="Calibri" w:cs="Calibri"/>
          <w:b/>
          <w:bCs/>
          <w:sz w:val="22"/>
          <w:szCs w:val="22"/>
        </w:rPr>
        <w:t xml:space="preserve"> and NVIDIA's Strategic Bet</w:t>
      </w:r>
      <w:r w:rsidRPr="00FB1DC4">
        <w:rPr>
          <w:rFonts w:ascii="Calibri" w:hAnsi="Calibri" w:cs="Calibri"/>
          <w:sz w:val="22"/>
          <w:szCs w:val="22"/>
        </w:rPr>
        <w:t xml:space="preserve"> NVIDIA is planning </w:t>
      </w:r>
      <w:proofErr w:type="spellStart"/>
      <w:r w:rsidRPr="00FB1DC4">
        <w:rPr>
          <w:rFonts w:ascii="Calibri" w:hAnsi="Calibri" w:cs="Calibri"/>
          <w:sz w:val="22"/>
          <w:szCs w:val="22"/>
        </w:rPr>
        <w:t>NemoClaw</w:t>
      </w:r>
      <w:proofErr w:type="spellEnd"/>
      <w:r w:rsidRPr="00FB1DC4">
        <w:rPr>
          <w:rFonts w:ascii="Calibri" w:hAnsi="Calibri" w:cs="Calibri"/>
          <w:sz w:val="22"/>
          <w:szCs w:val="22"/>
        </w:rPr>
        <w:t xml:space="preserve"> as an open-source enterprise agent platform with built-in security and privacy controls, available regardless of whether customers use NVIDIA chips. This marks a potential strategic shift: NVIDIA's moat has historically rested on its proprietary CUDA ecosystem and its hardware. </w:t>
      </w:r>
      <w:proofErr w:type="spellStart"/>
      <w:r w:rsidRPr="00FB1DC4">
        <w:rPr>
          <w:rFonts w:ascii="Calibri" w:hAnsi="Calibri" w:cs="Calibri"/>
          <w:sz w:val="22"/>
          <w:szCs w:val="22"/>
        </w:rPr>
        <w:t>NemoClaw</w:t>
      </w:r>
      <w:proofErr w:type="spellEnd"/>
      <w:r w:rsidRPr="00FB1DC4">
        <w:rPr>
          <w:rFonts w:ascii="Calibri" w:hAnsi="Calibri" w:cs="Calibri"/>
          <w:sz w:val="22"/>
          <w:szCs w:val="22"/>
        </w:rPr>
        <w:t>, by contrast, is open and chip-agnostic. The case frames this as a calculated move to maintain relevance in AI infrastructure as the industry shifts from training to inference and from models to agents — and as customers increasingly want to bring AI to their data rather than send their data to AI.</w:t>
      </w:r>
    </w:p>
    <w:p w14:paraId="317EF770"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Central Question</w:t>
      </w:r>
      <w:r w:rsidRPr="00FB1DC4">
        <w:rPr>
          <w:rFonts w:ascii="Calibri" w:hAnsi="Calibri" w:cs="Calibri"/>
          <w:sz w:val="22"/>
          <w:szCs w:val="22"/>
        </w:rPr>
        <w:t xml:space="preserve"> The case ends with NVIDIA on the eve of GTC, asking: how big a bet should Huang place on </w:t>
      </w:r>
      <w:proofErr w:type="spellStart"/>
      <w:r w:rsidRPr="00FB1DC4">
        <w:rPr>
          <w:rFonts w:ascii="Calibri" w:hAnsi="Calibri" w:cs="Calibri"/>
          <w:sz w:val="22"/>
          <w:szCs w:val="22"/>
        </w:rPr>
        <w:t>NemoClaw</w:t>
      </w:r>
      <w:proofErr w:type="spellEnd"/>
      <w:r w:rsidRPr="00FB1DC4">
        <w:rPr>
          <w:rFonts w:ascii="Calibri" w:hAnsi="Calibri" w:cs="Calibri"/>
          <w:sz w:val="22"/>
          <w:szCs w:val="22"/>
        </w:rPr>
        <w:t>, and how can an agent platform credibly address the sovereignty concerns of dozens of countries and thousands of enterprises — especially when the regulatory frameworks governing agents barely exist yet?</w:t>
      </w:r>
    </w:p>
    <w:p w14:paraId="68C5EF9B" w14:textId="77777777" w:rsidR="00FB1DC4" w:rsidRPr="00FB1DC4" w:rsidRDefault="00FB1DC4" w:rsidP="00FB1DC4">
      <w:pPr>
        <w:rPr>
          <w:rFonts w:ascii="Calibri" w:hAnsi="Calibri" w:cs="Calibri"/>
          <w:b/>
          <w:bCs/>
          <w:sz w:val="22"/>
          <w:szCs w:val="22"/>
        </w:rPr>
      </w:pPr>
      <w:r w:rsidRPr="00FB1DC4">
        <w:rPr>
          <w:rFonts w:ascii="Calibri" w:hAnsi="Calibri" w:cs="Calibri"/>
          <w:b/>
          <w:bCs/>
          <w:sz w:val="22"/>
          <w:szCs w:val="22"/>
        </w:rPr>
        <w:t>1. Do All Countries Need "Sovereign AI"? To What Extent Is It Achievable?</w:t>
      </w:r>
    </w:p>
    <w:p w14:paraId="0C85EB92"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honest answer is that not all countries </w:t>
      </w:r>
      <w:r w:rsidRPr="00FB1DC4">
        <w:rPr>
          <w:rFonts w:ascii="Calibri" w:hAnsi="Calibri" w:cs="Calibri"/>
          <w:i/>
          <w:iCs/>
          <w:sz w:val="22"/>
          <w:szCs w:val="22"/>
        </w:rPr>
        <w:t>need</w:t>
      </w:r>
      <w:r w:rsidRPr="00FB1DC4">
        <w:rPr>
          <w:rFonts w:ascii="Calibri" w:hAnsi="Calibri" w:cs="Calibri"/>
          <w:sz w:val="22"/>
          <w:szCs w:val="22"/>
        </w:rPr>
        <w:t xml:space="preserve"> sovereign AI in the same way, and for most countries full sovereignty is neither achievable nor worth pursuing. The more useful question is which </w:t>
      </w:r>
      <w:r w:rsidRPr="00FB1DC4">
        <w:rPr>
          <w:rFonts w:ascii="Calibri" w:hAnsi="Calibri" w:cs="Calibri"/>
          <w:i/>
          <w:iCs/>
          <w:sz w:val="22"/>
          <w:szCs w:val="22"/>
        </w:rPr>
        <w:t>dimensions</w:t>
      </w:r>
      <w:r w:rsidRPr="00FB1DC4">
        <w:rPr>
          <w:rFonts w:ascii="Calibri" w:hAnsi="Calibri" w:cs="Calibri"/>
          <w:sz w:val="22"/>
          <w:szCs w:val="22"/>
        </w:rPr>
        <w:t xml:space="preserve"> of sovereignty matter most for a given country's circumstances, and what level of control is </w:t>
      </w:r>
      <w:proofErr w:type="gramStart"/>
      <w:r w:rsidRPr="00FB1DC4">
        <w:rPr>
          <w:rFonts w:ascii="Calibri" w:hAnsi="Calibri" w:cs="Calibri"/>
          <w:sz w:val="22"/>
          <w:szCs w:val="22"/>
        </w:rPr>
        <w:t>actually attainable</w:t>
      </w:r>
      <w:proofErr w:type="gramEnd"/>
      <w:r w:rsidRPr="00FB1DC4">
        <w:rPr>
          <w:rFonts w:ascii="Calibri" w:hAnsi="Calibri" w:cs="Calibri"/>
          <w:sz w:val="22"/>
          <w:szCs w:val="22"/>
        </w:rPr>
        <w:t xml:space="preserve"> given resource constraints and geopolitical realities.</w:t>
      </w:r>
    </w:p>
    <w:p w14:paraId="08AB06DA"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case for sovereignty varies enormously by country.</w:t>
      </w:r>
      <w:r w:rsidRPr="00FB1DC4">
        <w:rPr>
          <w:rFonts w:ascii="Calibri" w:hAnsi="Calibri" w:cs="Calibri"/>
          <w:sz w:val="22"/>
          <w:szCs w:val="22"/>
        </w:rPr>
        <w:t xml:space="preserve"> A handful of large, technologically advanced nations — the US, China, and to some extent the EU — have both the motivation and the capacity to pursue meaningful sovereignty across multiple layers: chip design, model training, data governance, and infrastructure. For these countries, AI sovereignty is genuinely strategic because AI capability is increasingly tied to economic competitiveness, military power, and geopolitical influence. The US-China technology competition is essentially a sovereignty conflict already playing out in real time, with export controls on advanced chips being the most concrete expression of it.</w:t>
      </w:r>
    </w:p>
    <w:p w14:paraId="24327F43"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For a country like India, the case is more nuanced but still compelling in specific domains. India has 1.4 billion people generating enormous volumes of culturally and linguistically specific data. If that data flows unchecked to foreign model developers, it materially improves those companies' capabilities in domains — Indian languages, agricultural practices, healthcare, tax law — where India wants to build its own advantage. India also has a constitutional and legal tradition that takes privacy seriously, a large developer community, and the scale to potentially sustain domestic AI institutions. Its M.A.N.A.V. framework and DPDP Act reflect a coherent, if ambitious, attempt to assert sovereignty not by isolating itself from global AI, but by setting the terms on which global AI operates within its borders. That is a defensible and proportionate approach.</w:t>
      </w:r>
    </w:p>
    <w:p w14:paraId="4048EB4E"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For smaller or lower-income countries, the calculus is different. Full-stack AI sovereignty — designing chips, training frontier models, building domestic cloud infrastructure — is essentially unattainable and probably not the right goal. The resource requirements are staggering. Training a frontier model costs hundreds of millions of dollars and requires access to hardware that even wealthy countries struggle to </w:t>
      </w:r>
      <w:r w:rsidRPr="00FB1DC4">
        <w:rPr>
          <w:rFonts w:ascii="Calibri" w:hAnsi="Calibri" w:cs="Calibri"/>
          <w:sz w:val="22"/>
          <w:szCs w:val="22"/>
        </w:rPr>
        <w:lastRenderedPageBreak/>
        <w:t>procure. Attempting to replicate this independently would be a massive misallocation of scarce resources for most nations.</w:t>
      </w:r>
    </w:p>
    <w:p w14:paraId="4877F17E"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What smaller countries </w:t>
      </w:r>
      <w:r w:rsidRPr="00FB1DC4">
        <w:rPr>
          <w:rFonts w:ascii="Calibri" w:hAnsi="Calibri" w:cs="Calibri"/>
          <w:i/>
          <w:iCs/>
          <w:sz w:val="22"/>
          <w:szCs w:val="22"/>
        </w:rPr>
        <w:t>can</w:t>
      </w:r>
      <w:r w:rsidRPr="00FB1DC4">
        <w:rPr>
          <w:rFonts w:ascii="Calibri" w:hAnsi="Calibri" w:cs="Calibri"/>
          <w:sz w:val="22"/>
          <w:szCs w:val="22"/>
        </w:rPr>
        <w:t xml:space="preserve"> and probably </w:t>
      </w:r>
      <w:r w:rsidRPr="00FB1DC4">
        <w:rPr>
          <w:rFonts w:ascii="Calibri" w:hAnsi="Calibri" w:cs="Calibri"/>
          <w:i/>
          <w:iCs/>
          <w:sz w:val="22"/>
          <w:szCs w:val="22"/>
        </w:rPr>
        <w:t>should</w:t>
      </w:r>
      <w:r w:rsidRPr="00FB1DC4">
        <w:rPr>
          <w:rFonts w:ascii="Calibri" w:hAnsi="Calibri" w:cs="Calibri"/>
          <w:sz w:val="22"/>
          <w:szCs w:val="22"/>
        </w:rPr>
        <w:t xml:space="preserve"> pursue is a narrower, more practical form of sovereignty: regulatory sovereignty (the ability to set rules about how AI operates within their borders), data governance (ensuring their citizens' data isn't exploited without consent), and some degree of infrastructure sovereignty (domestic or regional data centers so that sensitive government workloads aren't subject to foreign legal process). The EU's approach — aggressive regulation, investment in shared European AI capacity, and requirements that providers comply with local rules — is probably closer to the right model for mid-sized economies than attempting to build an independent AI stack from scratch.</w:t>
      </w:r>
    </w:p>
    <w:p w14:paraId="3C7846AA"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On achievability</w:t>
      </w:r>
      <w:r w:rsidRPr="00FB1DC4">
        <w:rPr>
          <w:rFonts w:ascii="Calibri" w:hAnsi="Calibri" w:cs="Calibri"/>
          <w:sz w:val="22"/>
          <w:szCs w:val="22"/>
        </w:rPr>
        <w:t xml:space="preserve">, the key constraint is the hardware supply chain. Every country's sovereign AI ambitions ultimately rest on chips designed by three US companies and fabricated almost entirely by TSMC in Taiwan, with memory from South Korea. India's </w:t>
      </w:r>
      <w:proofErr w:type="spellStart"/>
      <w:r w:rsidRPr="00FB1DC4">
        <w:rPr>
          <w:rFonts w:ascii="Calibri" w:hAnsi="Calibri" w:cs="Calibri"/>
          <w:sz w:val="22"/>
          <w:szCs w:val="22"/>
        </w:rPr>
        <w:t>IndiaAI</w:t>
      </w:r>
      <w:proofErr w:type="spellEnd"/>
      <w:r w:rsidRPr="00FB1DC4">
        <w:rPr>
          <w:rFonts w:ascii="Calibri" w:hAnsi="Calibri" w:cs="Calibri"/>
          <w:sz w:val="22"/>
          <w:szCs w:val="22"/>
        </w:rPr>
        <w:t xml:space="preserve"> Mission built its GPU fleet almost entirely from NVIDIA hardware. Even L&amp;T's supposedly sovereign cloud infrastructure in Chennai and Mumbai runs on NVIDIA-designed chips. True sovereignty at the hardware layer requires semiconductor manufacturing capacity that only a handful of countries possess or can realistically develop within any near-term horizon. India's target of 20-25% participation in the global semiconductor value chain by 2047 is an aspiration measured in decades, not years.</w:t>
      </w:r>
    </w:p>
    <w:p w14:paraId="6D3BC411"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more practically achievable goal for most countries is what might be called </w:t>
      </w:r>
      <w:r w:rsidRPr="00FB1DC4">
        <w:rPr>
          <w:rFonts w:ascii="Calibri" w:hAnsi="Calibri" w:cs="Calibri"/>
          <w:i/>
          <w:iCs/>
          <w:sz w:val="22"/>
          <w:szCs w:val="22"/>
        </w:rPr>
        <w:t>conditional sovereignty</w:t>
      </w:r>
      <w:r w:rsidRPr="00FB1DC4">
        <w:rPr>
          <w:rFonts w:ascii="Calibri" w:hAnsi="Calibri" w:cs="Calibri"/>
          <w:sz w:val="22"/>
          <w:szCs w:val="22"/>
        </w:rPr>
        <w:t xml:space="preserve"> — sufficient control over data flows, model governance, and infrastructure location to protect citizens' rights and national interests, without attempting to replicate the full AI stack domestically. This is less satisfying rhetorically than full sovereignty, but it is both more honest and more achievable.</w:t>
      </w:r>
    </w:p>
    <w:p w14:paraId="28DDB7FD"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pict w14:anchorId="02EFAA70">
          <v:rect id="_x0000_i1037" style="width:0;height:1.5pt" o:hralign="center" o:hrstd="t" o:hr="t" fillcolor="#a0a0a0" stroked="f"/>
        </w:pict>
      </w:r>
    </w:p>
    <w:p w14:paraId="5CE82978" w14:textId="77777777" w:rsidR="00FB1DC4" w:rsidRPr="00FB1DC4" w:rsidRDefault="00FB1DC4" w:rsidP="00FB1DC4">
      <w:pPr>
        <w:rPr>
          <w:rFonts w:ascii="Calibri" w:hAnsi="Calibri" w:cs="Calibri"/>
          <w:b/>
          <w:bCs/>
          <w:sz w:val="22"/>
          <w:szCs w:val="22"/>
        </w:rPr>
      </w:pPr>
      <w:r w:rsidRPr="00FB1DC4">
        <w:rPr>
          <w:rFonts w:ascii="Calibri" w:hAnsi="Calibri" w:cs="Calibri"/>
          <w:b/>
          <w:bCs/>
          <w:sz w:val="22"/>
          <w:szCs w:val="22"/>
        </w:rPr>
        <w:t>2. Do Firms Also Need "Sovereign AI"? What Are the Key Considerations?</w:t>
      </w:r>
    </w:p>
    <w:p w14:paraId="518BC226"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Firms face a version of the same challenge as nations, but the stakes and mechanisms are different. Satya Nadella's framing at Davos was pointed: a company that cannot embed its tacit knowledge in models it controls is leaking enterprise value to a model provider somewhere. That is a real risk, but the response should be calibrated rather than categorical.</w:t>
      </w:r>
    </w:p>
    <w:p w14:paraId="79A418AC"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core concerns for firms are three.</w:t>
      </w:r>
      <w:r w:rsidRPr="00FB1DC4">
        <w:rPr>
          <w:rFonts w:ascii="Calibri" w:hAnsi="Calibri" w:cs="Calibri"/>
          <w:sz w:val="22"/>
          <w:szCs w:val="22"/>
        </w:rPr>
        <w:t xml:space="preserve"> The first is competitive intelligence leakage. When employees interact with external AI systems, they may reveal strategic information — not just in the literal text of their prompts, but in the aggregate pattern of what they're asking about. Even if a model provider is not training on enterprise prompts, the shape of usage can signal a company's R&amp;D priorities, deal activity, or operational vulnerabilities. The Samsung incident — where employees uploaded sensitive code to ChatGPT — is the most cited example, but the subtler version of this risk is harder to detect and harder to contract around.</w:t>
      </w:r>
    </w:p>
    <w:p w14:paraId="27537BC4"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second concern is the "Sherlocking" risk: the possibility that AI platform providers observe the products and use cases being built on their infrastructure and then compete directly against them. This concern is structurally real. Every major AI platform has both the technical capability and the commercial </w:t>
      </w:r>
      <w:r w:rsidRPr="00FB1DC4">
        <w:rPr>
          <w:rFonts w:ascii="Calibri" w:hAnsi="Calibri" w:cs="Calibri"/>
          <w:sz w:val="22"/>
          <w:szCs w:val="22"/>
        </w:rPr>
        <w:lastRenderedPageBreak/>
        <w:t>incentive to move up the value chain. Startups and enterprises building differentiated products on top of third-party AI APIs face genuine questions about how durable their competitive position is if the underlying model provider decides to replicate their product. This risk is asymmetric — larger, more specialized enterprises with proprietary data are somewhat more protected than pure-software startups whose differentiation rests primarily on clever prompting.</w:t>
      </w:r>
    </w:p>
    <w:p w14:paraId="48BFDCA7"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third concern is access continuity and pricing stability. Any organization that has deeply integrated a proprietary foreign AI system into its operations — via API or hosted service — is dependent on that provider's continued availability, pricing decisions, and geopolitical neutrality. This is especially acute for firms in regulated industries or in sectors where the AI system is now </w:t>
      </w:r>
      <w:proofErr w:type="gramStart"/>
      <w:r w:rsidRPr="00FB1DC4">
        <w:rPr>
          <w:rFonts w:ascii="Calibri" w:hAnsi="Calibri" w:cs="Calibri"/>
          <w:sz w:val="22"/>
          <w:szCs w:val="22"/>
        </w:rPr>
        <w:t>mission-critical</w:t>
      </w:r>
      <w:proofErr w:type="gramEnd"/>
      <w:r w:rsidRPr="00FB1DC4">
        <w:rPr>
          <w:rFonts w:ascii="Calibri" w:hAnsi="Calibri" w:cs="Calibri"/>
          <w:sz w:val="22"/>
          <w:szCs w:val="22"/>
        </w:rPr>
        <w:t>.</w:t>
      </w:r>
    </w:p>
    <w:p w14:paraId="0380D354"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key considerations in deciding how much sovereignty to pursue</w:t>
      </w:r>
      <w:r w:rsidRPr="00FB1DC4">
        <w:rPr>
          <w:rFonts w:ascii="Calibri" w:hAnsi="Calibri" w:cs="Calibri"/>
          <w:sz w:val="22"/>
          <w:szCs w:val="22"/>
        </w:rPr>
        <w:t xml:space="preserve"> are specificity of competitive advantage, sensitivity of data, and cost of independence. A pharmaceutical company whose AI system is trained on decades of proprietary clinical trial data has a strong case for running models on private infrastructure — the competitive value of that data is </w:t>
      </w:r>
      <w:proofErr w:type="gramStart"/>
      <w:r w:rsidRPr="00FB1DC4">
        <w:rPr>
          <w:rFonts w:ascii="Calibri" w:hAnsi="Calibri" w:cs="Calibri"/>
          <w:sz w:val="22"/>
          <w:szCs w:val="22"/>
        </w:rPr>
        <w:t>enormous</w:t>
      </w:r>
      <w:proofErr w:type="gramEnd"/>
      <w:r w:rsidRPr="00FB1DC4">
        <w:rPr>
          <w:rFonts w:ascii="Calibri" w:hAnsi="Calibri" w:cs="Calibri"/>
          <w:sz w:val="22"/>
          <w:szCs w:val="22"/>
        </w:rPr>
        <w:t xml:space="preserve"> and the downside of leakage is severe. A marketing agency using AI to write copy faces much lower stakes and probably benefits more from access to the best publicly available models than from the theoretical purity of running a smaller, weaker model on its own servers.</w:t>
      </w:r>
    </w:p>
    <w:p w14:paraId="0037FD22"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Enterprise agreements with model providers offer a middle path that is adequate for many firms. The contractual guarantees around data isolation, zero data retention, and no training on enterprise inputs address the most acute legal and competitive concerns without requiring firms to maintain their own AI infrastructure. The limitations of this approach are that it requires trust in the provider's compliance, it doesn't address the aggregate usage signal concern, and it does nothing about access continuity risk.</w:t>
      </w:r>
    </w:p>
    <w:p w14:paraId="7EF6BCFE"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For the most sensitive use cases, deploying open-weight models on private infrastructure is the right answer. The trade-off is capability — private deployments will generally lag frontier models — but for many enterprise use cases, a somewhat less capable model running on infrastructure the firm controls is a better risk-adjusted choice than the most powerful model running on someone else's servers.</w:t>
      </w:r>
    </w:p>
    <w:p w14:paraId="5ABD4C97"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honest conclusion is that most firms don't need </w:t>
      </w:r>
      <w:r w:rsidRPr="00FB1DC4">
        <w:rPr>
          <w:rFonts w:ascii="Calibri" w:hAnsi="Calibri" w:cs="Calibri"/>
          <w:i/>
          <w:iCs/>
          <w:sz w:val="22"/>
          <w:szCs w:val="22"/>
        </w:rPr>
        <w:t>full</w:t>
      </w:r>
      <w:r w:rsidRPr="00FB1DC4">
        <w:rPr>
          <w:rFonts w:ascii="Calibri" w:hAnsi="Calibri" w:cs="Calibri"/>
          <w:sz w:val="22"/>
          <w:szCs w:val="22"/>
        </w:rPr>
        <w:t xml:space="preserve"> AI sovereignty any more than most countries do. What they need is a deliberate, tiered approach: use public APIs where the stakes are low and competitive exposure is minimal, enterprise agreements where contractual protections are adequate, and private infrastructure for their most sensitive and strategically critical AI applications.</w:t>
      </w:r>
    </w:p>
    <w:p w14:paraId="2B302FDF"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pict w14:anchorId="3F6A36D2">
          <v:rect id="_x0000_i1038" style="width:0;height:1.5pt" o:hralign="center" o:hrstd="t" o:hr="t" fillcolor="#a0a0a0" stroked="f"/>
        </w:pict>
      </w:r>
    </w:p>
    <w:p w14:paraId="72A950E1" w14:textId="77777777" w:rsidR="00FB1DC4" w:rsidRPr="00FB1DC4" w:rsidRDefault="00FB1DC4" w:rsidP="00FB1DC4">
      <w:pPr>
        <w:rPr>
          <w:rFonts w:ascii="Calibri" w:hAnsi="Calibri" w:cs="Calibri"/>
          <w:b/>
          <w:bCs/>
          <w:sz w:val="22"/>
          <w:szCs w:val="22"/>
        </w:rPr>
      </w:pPr>
      <w:r w:rsidRPr="00FB1DC4">
        <w:rPr>
          <w:rFonts w:ascii="Calibri" w:hAnsi="Calibri" w:cs="Calibri"/>
          <w:b/>
          <w:bCs/>
          <w:sz w:val="22"/>
          <w:szCs w:val="22"/>
        </w:rPr>
        <w:t xml:space="preserve">3. How Has NVIDIA Become So Valuable? What Are the Opportunities and Risks of the </w:t>
      </w:r>
      <w:proofErr w:type="spellStart"/>
      <w:r w:rsidRPr="00FB1DC4">
        <w:rPr>
          <w:rFonts w:ascii="Calibri" w:hAnsi="Calibri" w:cs="Calibri"/>
          <w:b/>
          <w:bCs/>
          <w:sz w:val="22"/>
          <w:szCs w:val="22"/>
        </w:rPr>
        <w:t>NemoClaw</w:t>
      </w:r>
      <w:proofErr w:type="spellEnd"/>
      <w:r w:rsidRPr="00FB1DC4">
        <w:rPr>
          <w:rFonts w:ascii="Calibri" w:hAnsi="Calibri" w:cs="Calibri"/>
          <w:b/>
          <w:bCs/>
          <w:sz w:val="22"/>
          <w:szCs w:val="22"/>
        </w:rPr>
        <w:t xml:space="preserve"> Pivot? How Far Would You Go?</w:t>
      </w:r>
    </w:p>
    <w:p w14:paraId="6490C3E4"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How NVIDIA became so valuable</w:t>
      </w:r>
      <w:r w:rsidRPr="00FB1DC4">
        <w:rPr>
          <w:rFonts w:ascii="Calibri" w:hAnsi="Calibri" w:cs="Calibri"/>
          <w:sz w:val="22"/>
          <w:szCs w:val="22"/>
        </w:rPr>
        <w:t xml:space="preserve"> is a story of accidental positioning, deliberate platform building, and extraordinary timing. The company's original </w:t>
      </w:r>
      <w:proofErr w:type="gramStart"/>
      <w:r w:rsidRPr="00FB1DC4">
        <w:rPr>
          <w:rFonts w:ascii="Calibri" w:hAnsi="Calibri" w:cs="Calibri"/>
          <w:sz w:val="22"/>
          <w:szCs w:val="22"/>
        </w:rPr>
        <w:t>insight — that 3D gaming</w:t>
      </w:r>
      <w:proofErr w:type="gramEnd"/>
      <w:r w:rsidRPr="00FB1DC4">
        <w:rPr>
          <w:rFonts w:ascii="Calibri" w:hAnsi="Calibri" w:cs="Calibri"/>
          <w:sz w:val="22"/>
          <w:szCs w:val="22"/>
        </w:rPr>
        <w:t xml:space="preserve"> required a specialized parallel processor — turned out to create the exact computational architecture needed for training neural networks decades later. That accident of history was compounded by a deliberate strategic choice in 2006 to launch CUDA, which transformed the GPU from a piece of hardware into a programmable </w:t>
      </w:r>
      <w:r w:rsidRPr="00FB1DC4">
        <w:rPr>
          <w:rFonts w:ascii="Calibri" w:hAnsi="Calibri" w:cs="Calibri"/>
          <w:sz w:val="22"/>
          <w:szCs w:val="22"/>
        </w:rPr>
        <w:lastRenderedPageBreak/>
        <w:t>platform. CUDA created a massive installed base of developers, researchers, and software libraries all built around NVIDIA's architecture. When deep learning took off in the 2010s, the ecosystem was already there. Switching away from NVIDIA meant not just buying different hardware but rewriting enormous amounts of code and abandoning a decade of developer tooling. That switching cost — the CUDA moat — is arguably more durable than the hardware itself.</w:t>
      </w:r>
    </w:p>
    <w:p w14:paraId="20B80149"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When ChatGPT launched in 2022 and triggered a race for AI compute, NVIDIA was the only company that could supply frontier-grade GPUs at scale. The concentration of the supply chain — NVIDIA for design, TSMC for fabrication, Samsung and SK Hynix for memory — meant there was essentially no alternative. Customers had to buy NVIDIA hardware at NVIDIA's prices, and they were willing to pay $24,000 to $40,000 per H100 GPU and order them by the hundreds of thousands. The result was a revenue acceleration from $61 billion in fiscal 2024 to $216 billion in fiscal 2026 — a nearly fourfold increase in two years.</w:t>
      </w:r>
    </w:p>
    <w:p w14:paraId="4E15FFDF"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risks to that position are real and accumulating.</w:t>
      </w:r>
      <w:r w:rsidRPr="00FB1DC4">
        <w:rPr>
          <w:rFonts w:ascii="Calibri" w:hAnsi="Calibri" w:cs="Calibri"/>
          <w:sz w:val="22"/>
          <w:szCs w:val="22"/>
        </w:rPr>
        <w:t xml:space="preserve"> NVIDIA's two largest customers represented 36% of fiscal 2026 revenue between them. Those customers — almost certainly among the large </w:t>
      </w:r>
      <w:proofErr w:type="spellStart"/>
      <w:r w:rsidRPr="00FB1DC4">
        <w:rPr>
          <w:rFonts w:ascii="Calibri" w:hAnsi="Calibri" w:cs="Calibri"/>
          <w:sz w:val="22"/>
          <w:szCs w:val="22"/>
        </w:rPr>
        <w:t>hyperscalers</w:t>
      </w:r>
      <w:proofErr w:type="spellEnd"/>
      <w:r w:rsidRPr="00FB1DC4">
        <w:rPr>
          <w:rFonts w:ascii="Calibri" w:hAnsi="Calibri" w:cs="Calibri"/>
          <w:sz w:val="22"/>
          <w:szCs w:val="22"/>
        </w:rPr>
        <w:t xml:space="preserve"> — are each developing their own AI chips: Google's TPUs, Amazon's </w:t>
      </w:r>
      <w:proofErr w:type="spellStart"/>
      <w:r w:rsidRPr="00FB1DC4">
        <w:rPr>
          <w:rFonts w:ascii="Calibri" w:hAnsi="Calibri" w:cs="Calibri"/>
          <w:sz w:val="22"/>
          <w:szCs w:val="22"/>
        </w:rPr>
        <w:t>Trainium</w:t>
      </w:r>
      <w:proofErr w:type="spellEnd"/>
      <w:r w:rsidRPr="00FB1DC4">
        <w:rPr>
          <w:rFonts w:ascii="Calibri" w:hAnsi="Calibri" w:cs="Calibri"/>
          <w:sz w:val="22"/>
          <w:szCs w:val="22"/>
        </w:rPr>
        <w:t xml:space="preserve"> and </w:t>
      </w:r>
      <w:proofErr w:type="spellStart"/>
      <w:r w:rsidRPr="00FB1DC4">
        <w:rPr>
          <w:rFonts w:ascii="Calibri" w:hAnsi="Calibri" w:cs="Calibri"/>
          <w:sz w:val="22"/>
          <w:szCs w:val="22"/>
        </w:rPr>
        <w:t>Inferentia</w:t>
      </w:r>
      <w:proofErr w:type="spellEnd"/>
      <w:r w:rsidRPr="00FB1DC4">
        <w:rPr>
          <w:rFonts w:ascii="Calibri" w:hAnsi="Calibri" w:cs="Calibri"/>
          <w:sz w:val="22"/>
          <w:szCs w:val="22"/>
        </w:rPr>
        <w:t xml:space="preserve">, Meta's MTIA, Microsoft's Maia, and OpenAI's chip partnerships with Broadcom. None of these has yet displaced NVIDIA at scale, but the trajectory is clear. As inference workloads grow relative to training, the economic case for custom silicon optimized for specific model </w:t>
      </w:r>
      <w:proofErr w:type="gramStart"/>
      <w:r w:rsidRPr="00FB1DC4">
        <w:rPr>
          <w:rFonts w:ascii="Calibri" w:hAnsi="Calibri" w:cs="Calibri"/>
          <w:sz w:val="22"/>
          <w:szCs w:val="22"/>
        </w:rPr>
        <w:t>architectures</w:t>
      </w:r>
      <w:proofErr w:type="gramEnd"/>
      <w:r w:rsidRPr="00FB1DC4">
        <w:rPr>
          <w:rFonts w:ascii="Calibri" w:hAnsi="Calibri" w:cs="Calibri"/>
          <w:sz w:val="22"/>
          <w:szCs w:val="22"/>
        </w:rPr>
        <w:t xml:space="preserve"> strengthens. Inference is more predictable than training, which makes it easier to optimize for with purpose-built chips. NVIDIA's position in training is more defensible than its position in inference, but inference is where the volume is heading.</w:t>
      </w:r>
    </w:p>
    <w:p w14:paraId="3D05EA40" w14:textId="77777777" w:rsidR="00FB1DC4" w:rsidRPr="00FB1DC4" w:rsidRDefault="00FB1DC4" w:rsidP="00FB1DC4">
      <w:pPr>
        <w:rPr>
          <w:rFonts w:ascii="Calibri" w:hAnsi="Calibri" w:cs="Calibri"/>
          <w:sz w:val="22"/>
          <w:szCs w:val="22"/>
        </w:rPr>
      </w:pPr>
      <w:proofErr w:type="spellStart"/>
      <w:r w:rsidRPr="00FB1DC4">
        <w:rPr>
          <w:rFonts w:ascii="Calibri" w:hAnsi="Calibri" w:cs="Calibri"/>
          <w:b/>
          <w:bCs/>
          <w:sz w:val="22"/>
          <w:szCs w:val="22"/>
        </w:rPr>
        <w:t>NemoClaw</w:t>
      </w:r>
      <w:proofErr w:type="spellEnd"/>
      <w:r w:rsidRPr="00FB1DC4">
        <w:rPr>
          <w:rFonts w:ascii="Calibri" w:hAnsi="Calibri" w:cs="Calibri"/>
          <w:b/>
          <w:bCs/>
          <w:sz w:val="22"/>
          <w:szCs w:val="22"/>
        </w:rPr>
        <w:t xml:space="preserve"> as a strategic move</w:t>
      </w:r>
      <w:r w:rsidRPr="00FB1DC4">
        <w:rPr>
          <w:rFonts w:ascii="Calibri" w:hAnsi="Calibri" w:cs="Calibri"/>
          <w:sz w:val="22"/>
          <w:szCs w:val="22"/>
        </w:rPr>
        <w:t xml:space="preserve"> can be read in several ways, and the most important observation is that it represents NVIDIA trying to move up the stack before the hardware </w:t>
      </w:r>
      <w:proofErr w:type="gramStart"/>
      <w:r w:rsidRPr="00FB1DC4">
        <w:rPr>
          <w:rFonts w:ascii="Calibri" w:hAnsi="Calibri" w:cs="Calibri"/>
          <w:sz w:val="22"/>
          <w:szCs w:val="22"/>
        </w:rPr>
        <w:t>commoditizes</w:t>
      </w:r>
      <w:proofErr w:type="gramEnd"/>
      <w:r w:rsidRPr="00FB1DC4">
        <w:rPr>
          <w:rFonts w:ascii="Calibri" w:hAnsi="Calibri" w:cs="Calibri"/>
          <w:sz w:val="22"/>
          <w:szCs w:val="22"/>
        </w:rPr>
        <w:t xml:space="preserve"> beneath it. The CUDA playbook — create a software layer so deeply embedded that switching costs are prohibitive — is now being applied to the agentic layer. By providing an open-source security and governance framework for enterprise agent deployment, NVIDIA would embed itself in the operational workflows of large companies in a way that doesn't depend on which GPUs they're running. The chip-agnostic nature of </w:t>
      </w:r>
      <w:proofErr w:type="spellStart"/>
      <w:r w:rsidRPr="00FB1DC4">
        <w:rPr>
          <w:rFonts w:ascii="Calibri" w:hAnsi="Calibri" w:cs="Calibri"/>
          <w:sz w:val="22"/>
          <w:szCs w:val="22"/>
        </w:rPr>
        <w:t>NemoClaw</w:t>
      </w:r>
      <w:proofErr w:type="spellEnd"/>
      <w:r w:rsidRPr="00FB1DC4">
        <w:rPr>
          <w:rFonts w:ascii="Calibri" w:hAnsi="Calibri" w:cs="Calibri"/>
          <w:sz w:val="22"/>
          <w:szCs w:val="22"/>
        </w:rPr>
        <w:t xml:space="preserve"> is not a concession — it is the point. If enterprises build their agentic infrastructure on </w:t>
      </w:r>
      <w:proofErr w:type="spellStart"/>
      <w:r w:rsidRPr="00FB1DC4">
        <w:rPr>
          <w:rFonts w:ascii="Calibri" w:hAnsi="Calibri" w:cs="Calibri"/>
          <w:sz w:val="22"/>
          <w:szCs w:val="22"/>
        </w:rPr>
        <w:t>NemoClaw</w:t>
      </w:r>
      <w:proofErr w:type="spellEnd"/>
      <w:r w:rsidRPr="00FB1DC4">
        <w:rPr>
          <w:rFonts w:ascii="Calibri" w:hAnsi="Calibri" w:cs="Calibri"/>
          <w:sz w:val="22"/>
          <w:szCs w:val="22"/>
        </w:rPr>
        <w:t>, NVIDIA becomes relevant even when they're running on a competitor's silicon.</w:t>
      </w:r>
    </w:p>
    <w:p w14:paraId="26F863BB"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open-source strategy specifically serves two purposes. First, it accelerates adoption — enterprises are deeply skeptical of proprietary lock-in for security-critical infrastructure, and open-source removes that objection. Second, it positions NVIDIA as a trusted, neutral infrastructure provider rather than a competitor to the AI companies whose models run on </w:t>
      </w:r>
      <w:proofErr w:type="spellStart"/>
      <w:r w:rsidRPr="00FB1DC4">
        <w:rPr>
          <w:rFonts w:ascii="Calibri" w:hAnsi="Calibri" w:cs="Calibri"/>
          <w:sz w:val="22"/>
          <w:szCs w:val="22"/>
        </w:rPr>
        <w:t>NemoClaw</w:t>
      </w:r>
      <w:proofErr w:type="spellEnd"/>
      <w:r w:rsidRPr="00FB1DC4">
        <w:rPr>
          <w:rFonts w:ascii="Calibri" w:hAnsi="Calibri" w:cs="Calibri"/>
          <w:sz w:val="22"/>
          <w:szCs w:val="22"/>
        </w:rPr>
        <w:t>. This matters enormously because NVIDIA's customers are also potential competitors, and maintaining the perception of neutrality is commercially essential.</w:t>
      </w:r>
    </w:p>
    <w:p w14:paraId="2216C58B"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The risks of the pivot are also significant.</w:t>
      </w:r>
      <w:r w:rsidRPr="00FB1DC4">
        <w:rPr>
          <w:rFonts w:ascii="Calibri" w:hAnsi="Calibri" w:cs="Calibri"/>
          <w:sz w:val="22"/>
          <w:szCs w:val="22"/>
        </w:rPr>
        <w:t xml:space="preserve"> NVIDIA's extraordinary profitability rests on hardware margins that are genuinely unusual in the technology industry — its gross margin in fiscal 2026 was around 71%. Software and platform businesses can be highly valuable, but they don't generate hardware-style margins on their own. If </w:t>
      </w:r>
      <w:proofErr w:type="spellStart"/>
      <w:r w:rsidRPr="00FB1DC4">
        <w:rPr>
          <w:rFonts w:ascii="Calibri" w:hAnsi="Calibri" w:cs="Calibri"/>
          <w:sz w:val="22"/>
          <w:szCs w:val="22"/>
        </w:rPr>
        <w:t>NemoClaw</w:t>
      </w:r>
      <w:proofErr w:type="spellEnd"/>
      <w:r w:rsidRPr="00FB1DC4">
        <w:rPr>
          <w:rFonts w:ascii="Calibri" w:hAnsi="Calibri" w:cs="Calibri"/>
          <w:sz w:val="22"/>
          <w:szCs w:val="22"/>
        </w:rPr>
        <w:t xml:space="preserve"> succeeds in making NVIDIA relevant across a broader range of </w:t>
      </w:r>
      <w:r w:rsidRPr="00FB1DC4">
        <w:rPr>
          <w:rFonts w:ascii="Calibri" w:hAnsi="Calibri" w:cs="Calibri"/>
          <w:sz w:val="22"/>
          <w:szCs w:val="22"/>
        </w:rPr>
        <w:lastRenderedPageBreak/>
        <w:t>infrastructure but at the cost of hardware revenue concentration, the financial profile of the business changes materially.</w:t>
      </w:r>
    </w:p>
    <w:p w14:paraId="5EA51958"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There is also an execution risk. Building enterprise software platforms is a fundamentally different capability than designing chips. NVIDIA has historically been a hardware and developer tools company. Winning enterprise software relationships requires go-to-market capabilities, customer success infrastructure, and product iteration speed that are not currently NVIDIA's core competencies. The companies it would be competing with — Microsoft, Google, and a range of enterprise software vendors — are very good at this.</w:t>
      </w:r>
    </w:p>
    <w:p w14:paraId="7ECA397B" w14:textId="77777777" w:rsidR="00FB1DC4" w:rsidRPr="00FB1DC4" w:rsidRDefault="00FB1DC4" w:rsidP="00FB1DC4">
      <w:pPr>
        <w:rPr>
          <w:rFonts w:ascii="Calibri" w:hAnsi="Calibri" w:cs="Calibri"/>
          <w:sz w:val="22"/>
          <w:szCs w:val="22"/>
        </w:rPr>
      </w:pPr>
      <w:r w:rsidRPr="00FB1DC4">
        <w:rPr>
          <w:rFonts w:ascii="Calibri" w:hAnsi="Calibri" w:cs="Calibri"/>
          <w:b/>
          <w:bCs/>
          <w:sz w:val="22"/>
          <w:szCs w:val="22"/>
        </w:rPr>
        <w:t>How far would you go?</w:t>
      </w:r>
      <w:r w:rsidRPr="00FB1DC4">
        <w:rPr>
          <w:rFonts w:ascii="Calibri" w:hAnsi="Calibri" w:cs="Calibri"/>
          <w:sz w:val="22"/>
          <w:szCs w:val="22"/>
        </w:rPr>
        <w:t xml:space="preserve"> The strategic logic of </w:t>
      </w:r>
      <w:proofErr w:type="spellStart"/>
      <w:r w:rsidRPr="00FB1DC4">
        <w:rPr>
          <w:rFonts w:ascii="Calibri" w:hAnsi="Calibri" w:cs="Calibri"/>
          <w:sz w:val="22"/>
          <w:szCs w:val="22"/>
        </w:rPr>
        <w:t>NemoClaw</w:t>
      </w:r>
      <w:proofErr w:type="spellEnd"/>
      <w:r w:rsidRPr="00FB1DC4">
        <w:rPr>
          <w:rFonts w:ascii="Calibri" w:hAnsi="Calibri" w:cs="Calibri"/>
          <w:sz w:val="22"/>
          <w:szCs w:val="22"/>
        </w:rPr>
        <w:t xml:space="preserve"> is sound, but the execution should be deliberately bounded, at least initially. The right move is to use </w:t>
      </w:r>
      <w:proofErr w:type="spellStart"/>
      <w:r w:rsidRPr="00FB1DC4">
        <w:rPr>
          <w:rFonts w:ascii="Calibri" w:hAnsi="Calibri" w:cs="Calibri"/>
          <w:sz w:val="22"/>
          <w:szCs w:val="22"/>
        </w:rPr>
        <w:t>NemoClaw</w:t>
      </w:r>
      <w:proofErr w:type="spellEnd"/>
      <w:r w:rsidRPr="00FB1DC4">
        <w:rPr>
          <w:rFonts w:ascii="Calibri" w:hAnsi="Calibri" w:cs="Calibri"/>
          <w:sz w:val="22"/>
          <w:szCs w:val="22"/>
        </w:rPr>
        <w:t xml:space="preserve"> to deepen relationships with the enterprise customers who are already buying NVIDIA hardware — not to immediately pursue chip-agnostic deployments as the primary motion. Start by making </w:t>
      </w:r>
      <w:proofErr w:type="spellStart"/>
      <w:r w:rsidRPr="00FB1DC4">
        <w:rPr>
          <w:rFonts w:ascii="Calibri" w:hAnsi="Calibri" w:cs="Calibri"/>
          <w:sz w:val="22"/>
          <w:szCs w:val="22"/>
        </w:rPr>
        <w:t>NemoClaw</w:t>
      </w:r>
      <w:proofErr w:type="spellEnd"/>
      <w:r w:rsidRPr="00FB1DC4">
        <w:rPr>
          <w:rFonts w:ascii="Calibri" w:hAnsi="Calibri" w:cs="Calibri"/>
          <w:sz w:val="22"/>
          <w:szCs w:val="22"/>
        </w:rPr>
        <w:t xml:space="preserve"> the best possible framework for enterprises running NVIDIA-based </w:t>
      </w:r>
      <w:proofErr w:type="gramStart"/>
      <w:r w:rsidRPr="00FB1DC4">
        <w:rPr>
          <w:rFonts w:ascii="Calibri" w:hAnsi="Calibri" w:cs="Calibri"/>
          <w:sz w:val="22"/>
          <w:szCs w:val="22"/>
        </w:rPr>
        <w:t>infrastructure, and</w:t>
      </w:r>
      <w:proofErr w:type="gramEnd"/>
      <w:r w:rsidRPr="00FB1DC4">
        <w:rPr>
          <w:rFonts w:ascii="Calibri" w:hAnsi="Calibri" w:cs="Calibri"/>
          <w:sz w:val="22"/>
          <w:szCs w:val="22"/>
        </w:rPr>
        <w:t xml:space="preserve"> let the chip-agnostic positioning be available but not the lead pitch. This preserves the hardware business while building </w:t>
      </w:r>
      <w:proofErr w:type="gramStart"/>
      <w:r w:rsidRPr="00FB1DC4">
        <w:rPr>
          <w:rFonts w:ascii="Calibri" w:hAnsi="Calibri" w:cs="Calibri"/>
          <w:sz w:val="22"/>
          <w:szCs w:val="22"/>
        </w:rPr>
        <w:t>the software</w:t>
      </w:r>
      <w:proofErr w:type="gramEnd"/>
      <w:r w:rsidRPr="00FB1DC4">
        <w:rPr>
          <w:rFonts w:ascii="Calibri" w:hAnsi="Calibri" w:cs="Calibri"/>
          <w:sz w:val="22"/>
          <w:szCs w:val="22"/>
        </w:rPr>
        <w:t xml:space="preserve"> relationships that will matter when hardware differentiation inevitably erodes.</w:t>
      </w:r>
    </w:p>
    <w:p w14:paraId="2F0C0ED5"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sovereignty angle is </w:t>
      </w:r>
      <w:proofErr w:type="spellStart"/>
      <w:r w:rsidRPr="00FB1DC4">
        <w:rPr>
          <w:rFonts w:ascii="Calibri" w:hAnsi="Calibri" w:cs="Calibri"/>
          <w:sz w:val="22"/>
          <w:szCs w:val="22"/>
        </w:rPr>
        <w:t>NemoClaw's</w:t>
      </w:r>
      <w:proofErr w:type="spellEnd"/>
      <w:r w:rsidRPr="00FB1DC4">
        <w:rPr>
          <w:rFonts w:ascii="Calibri" w:hAnsi="Calibri" w:cs="Calibri"/>
          <w:sz w:val="22"/>
          <w:szCs w:val="22"/>
        </w:rPr>
        <w:t xml:space="preserve"> most defensible positioning. Governments and large enterprises alike are genuinely anxious about data control in the agentic era, and existing providers — OpenAI, Anthropic, Google — all carry the competitive intelligence leakage concern that makes enterprises nervous. NVIDIA, as primarily a hardware company with no model to Sherlock and no consumer product to cross-subsidize, can credibly position itself as the neutral infrastructure layer. That credibility is a genuine strategic asset that Huang should lean into explicitly at GTC and beyond.</w:t>
      </w:r>
    </w:p>
    <w:p w14:paraId="7CA1D1A0" w14:textId="77777777" w:rsidR="00FB1DC4" w:rsidRPr="00FB1DC4" w:rsidRDefault="00FB1DC4" w:rsidP="00FB1DC4">
      <w:pPr>
        <w:rPr>
          <w:rFonts w:ascii="Calibri" w:hAnsi="Calibri" w:cs="Calibri"/>
          <w:sz w:val="22"/>
          <w:szCs w:val="22"/>
        </w:rPr>
      </w:pPr>
      <w:r w:rsidRPr="00FB1DC4">
        <w:rPr>
          <w:rFonts w:ascii="Calibri" w:hAnsi="Calibri" w:cs="Calibri"/>
          <w:sz w:val="22"/>
          <w:szCs w:val="22"/>
        </w:rPr>
        <w:t xml:space="preserve">The further risk to avoid is over-rotating away from hardware too quickly. The GPU business is still growing rapidly, inference demand is still accelerating, and no competitor has yet demonstrated the ability to displace NVIDIA at scale. </w:t>
      </w:r>
      <w:proofErr w:type="spellStart"/>
      <w:r w:rsidRPr="00FB1DC4">
        <w:rPr>
          <w:rFonts w:ascii="Calibri" w:hAnsi="Calibri" w:cs="Calibri"/>
          <w:sz w:val="22"/>
          <w:szCs w:val="22"/>
        </w:rPr>
        <w:t>NemoClaw</w:t>
      </w:r>
      <w:proofErr w:type="spellEnd"/>
      <w:r w:rsidRPr="00FB1DC4">
        <w:rPr>
          <w:rFonts w:ascii="Calibri" w:hAnsi="Calibri" w:cs="Calibri"/>
          <w:sz w:val="22"/>
          <w:szCs w:val="22"/>
        </w:rPr>
        <w:t xml:space="preserve"> should be a complementary bet on the next layer of the stack, not a retreat from the current one. The most valuable version of NVIDIA in five years is probably one that sells the best hardware </w:t>
      </w:r>
      <w:r w:rsidRPr="00FB1DC4">
        <w:rPr>
          <w:rFonts w:ascii="Calibri" w:hAnsi="Calibri" w:cs="Calibri"/>
          <w:i/>
          <w:iCs/>
          <w:sz w:val="22"/>
          <w:szCs w:val="22"/>
        </w:rPr>
        <w:t>and</w:t>
      </w:r>
      <w:r w:rsidRPr="00FB1DC4">
        <w:rPr>
          <w:rFonts w:ascii="Calibri" w:hAnsi="Calibri" w:cs="Calibri"/>
          <w:sz w:val="22"/>
          <w:szCs w:val="22"/>
        </w:rPr>
        <w:t xml:space="preserve"> provides the governance and security infrastructure that makes enterprise agentic deployment possible — capturing margin at both layers simultaneously.</w:t>
      </w:r>
    </w:p>
    <w:p w14:paraId="1CBCE85D" w14:textId="77777777" w:rsidR="00946174" w:rsidRPr="00FB1DC4" w:rsidRDefault="00946174">
      <w:pPr>
        <w:rPr>
          <w:rFonts w:ascii="Calibri" w:hAnsi="Calibri" w:cs="Calibri"/>
          <w:sz w:val="22"/>
          <w:szCs w:val="22"/>
        </w:rPr>
      </w:pPr>
    </w:p>
    <w:sectPr w:rsidR="00946174" w:rsidRPr="00FB1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C4"/>
    <w:rsid w:val="00755988"/>
    <w:rsid w:val="00946174"/>
    <w:rsid w:val="00AF384F"/>
    <w:rsid w:val="00FB1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09E2"/>
  <w15:chartTrackingRefBased/>
  <w15:docId w15:val="{7F236630-DC32-4A2D-92A8-6F92737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C4"/>
    <w:rPr>
      <w:rFonts w:eastAsiaTheme="majorEastAsia" w:cstheme="majorBidi"/>
      <w:color w:val="272727" w:themeColor="text1" w:themeTint="D8"/>
    </w:rPr>
  </w:style>
  <w:style w:type="paragraph" w:styleId="Title">
    <w:name w:val="Title"/>
    <w:basedOn w:val="Normal"/>
    <w:next w:val="Normal"/>
    <w:link w:val="TitleChar"/>
    <w:uiPriority w:val="10"/>
    <w:qFormat/>
    <w:rsid w:val="00FB1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C4"/>
    <w:pPr>
      <w:spacing w:before="160"/>
      <w:jc w:val="center"/>
    </w:pPr>
    <w:rPr>
      <w:i/>
      <w:iCs/>
      <w:color w:val="404040" w:themeColor="text1" w:themeTint="BF"/>
    </w:rPr>
  </w:style>
  <w:style w:type="character" w:customStyle="1" w:styleId="QuoteChar">
    <w:name w:val="Quote Char"/>
    <w:basedOn w:val="DefaultParagraphFont"/>
    <w:link w:val="Quote"/>
    <w:uiPriority w:val="29"/>
    <w:rsid w:val="00FB1DC4"/>
    <w:rPr>
      <w:i/>
      <w:iCs/>
      <w:color w:val="404040" w:themeColor="text1" w:themeTint="BF"/>
    </w:rPr>
  </w:style>
  <w:style w:type="paragraph" w:styleId="ListParagraph">
    <w:name w:val="List Paragraph"/>
    <w:basedOn w:val="Normal"/>
    <w:uiPriority w:val="34"/>
    <w:qFormat/>
    <w:rsid w:val="00FB1DC4"/>
    <w:pPr>
      <w:ind w:left="720"/>
      <w:contextualSpacing/>
    </w:pPr>
  </w:style>
  <w:style w:type="character" w:styleId="IntenseEmphasis">
    <w:name w:val="Intense Emphasis"/>
    <w:basedOn w:val="DefaultParagraphFont"/>
    <w:uiPriority w:val="21"/>
    <w:qFormat/>
    <w:rsid w:val="00FB1DC4"/>
    <w:rPr>
      <w:i/>
      <w:iCs/>
      <w:color w:val="0F4761" w:themeColor="accent1" w:themeShade="BF"/>
    </w:rPr>
  </w:style>
  <w:style w:type="paragraph" w:styleId="IntenseQuote">
    <w:name w:val="Intense Quote"/>
    <w:basedOn w:val="Normal"/>
    <w:next w:val="Normal"/>
    <w:link w:val="IntenseQuoteChar"/>
    <w:uiPriority w:val="30"/>
    <w:qFormat/>
    <w:rsid w:val="00FB1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C4"/>
    <w:rPr>
      <w:i/>
      <w:iCs/>
      <w:color w:val="0F4761" w:themeColor="accent1" w:themeShade="BF"/>
    </w:rPr>
  </w:style>
  <w:style w:type="character" w:styleId="IntenseReference">
    <w:name w:val="Intense Reference"/>
    <w:basedOn w:val="DefaultParagraphFont"/>
    <w:uiPriority w:val="32"/>
    <w:qFormat/>
    <w:rsid w:val="00FB1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2967</Words>
  <Characters>16912</Characters>
  <Application>Microsoft Office Word</Application>
  <DocSecurity>0</DocSecurity>
  <Lines>140</Lines>
  <Paragraphs>39</Paragraphs>
  <ScaleCrop>false</ScaleCrop>
  <Company/>
  <LinksUpToDate>false</LinksUpToDate>
  <CharactersWithSpaces>19840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Cameryn McCormack</dc:creator>
  <cp:keywords/>
  <dc:description/>
  <cp:lastModifiedBy>Cameryn McCormack</cp:lastModifiedBy>
  <cp:revision>1</cp:revision>
  <dcterms:created xsi:type="dcterms:W3CDTF">2026-04-09T13:03:00Z</dcterms:created>
  <dcterms:modified xsi:type="dcterms:W3CDTF">2026-04-09T13:05:00Z</dcterms:modified>
</cp:coreProperties>
</file>