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w:t>
                            </w:r>
                            <w:r>
                              <w:t>Folder</w:t>
                            </w:r>
                            <w:r>
                              <w:t>=Githubfolder;</w:t>
                            </w:r>
                            <w:r>
                              <w:t>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w:t>
                      </w:r>
                      <w:r>
                        <w:t>Folder</w:t>
                      </w:r>
                      <w:r>
                        <w:t>=Githubfolder;</w:t>
                      </w:r>
                      <w:r>
                        <w:t>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r>
        <w:t>LongDescription</w:t>
      </w:r>
      <w:proofErr w:type="spellEnd"/>
      <w:r>
        <w:t xml:space="preserve"> :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264F0DAB" w:rsidR="004B5A40" w:rsidRDefault="004B5A40" w:rsidP="004B5A40">
      <w:pPr>
        <w:pStyle w:val="ListParagraph"/>
        <w:numPr>
          <w:ilvl w:val="0"/>
          <w:numId w:val="7"/>
        </w:numPr>
      </w:pPr>
      <w:proofErr w:type="spellStart"/>
      <w:r>
        <w:t>OtherFiles</w:t>
      </w:r>
      <w:proofErr w:type="spellEnd"/>
      <w:r>
        <w:t xml:space="preserve">[N]: </w:t>
      </w:r>
      <w:r>
        <w:t>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A2281F6" w14:textId="52B9B16B" w:rsidR="004B5A40" w:rsidRDefault="004B5A40" w:rsidP="004B5A40">
      <w:pPr>
        <w:pStyle w:val="ListParagraph"/>
        <w:numPr>
          <w:ilvl w:val="0"/>
          <w:numId w:val="7"/>
        </w:numPr>
      </w:pPr>
      <w:proofErr w:type="spellStart"/>
      <w:r>
        <w:t>DownloadF</w:t>
      </w:r>
      <w:r>
        <w:t>older</w:t>
      </w:r>
      <w:proofErr w:type="spellEnd"/>
      <w:r>
        <w:t xml:space="preserve">[N] </w:t>
      </w:r>
      <w:r w:rsidRPr="004B5A40">
        <w:rPr>
          <w:vertAlign w:val="superscript"/>
        </w:rPr>
        <w:t>[30]</w:t>
      </w:r>
      <w:r>
        <w:t xml:space="preserve">: Download </w:t>
      </w:r>
      <w:r>
        <w:t>the whole folder tree (</w:t>
      </w:r>
      <w:proofErr w:type="spellStart"/>
      <w:r>
        <w:t>incl</w:t>
      </w:r>
      <w:proofErr w:type="spellEnd"/>
      <w:r>
        <w:t xml:space="preserve"> subfolder) from </w:t>
      </w:r>
      <w:proofErr w:type="spellStart"/>
      <w:r>
        <w:t>githubfolder</w:t>
      </w:r>
      <w:proofErr w:type="spellEnd"/>
      <w:r>
        <w:t xml:space="preserve">, and store in the </w:t>
      </w:r>
      <w:proofErr w:type="spellStart"/>
      <w:r>
        <w:t>localfolder</w:t>
      </w:r>
      <w:proofErr w:type="spellEnd"/>
      <w:r>
        <w:t xml:space="preserve"> tree. Folders are synchronised when downloaded so that the folders mentioned only contain the files found in </w:t>
      </w:r>
      <w:proofErr w:type="spellStart"/>
      <w:r>
        <w:t>github</w:t>
      </w:r>
      <w:proofErr w:type="spellEnd"/>
      <w:r>
        <w:t xml:space="preserve">.  Any other files are deleted.  Note sub folders not mentioned in </w:t>
      </w:r>
      <w:proofErr w:type="spellStart"/>
      <w:r>
        <w:t>github</w:t>
      </w:r>
      <w:proofErr w:type="spellEnd"/>
      <w:r>
        <w:t xml:space="preserve"> are not touched, so you can have local private folder storage.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lastRenderedPageBreak/>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r>
        <w:t>EDDLite;EDDiscovery</w:t>
      </w:r>
      <w:proofErr w:type="spellEnd"/>
      <w:r>
        <w:t>”.  If not present, allowed for all programs.</w:t>
      </w:r>
    </w:p>
    <w:p w14:paraId="68BC754A" w14:textId="77777777" w:rsidR="00173192" w:rsidRDefault="00173192" w:rsidP="00173192">
      <w:pPr>
        <w:pStyle w:val="ListParagraph"/>
      </w:pPr>
    </w:p>
    <w:p w14:paraId="130E6F7C" w14:textId="59C3ED2E" w:rsidR="002E1B58" w:rsidRDefault="002E1B58" w:rsidP="002E1B58">
      <w:r>
        <w:t xml:space="preserve">INSTALL variables must </w:t>
      </w:r>
      <w:r>
        <w:t>precede</w:t>
      </w:r>
      <w:r>
        <w:t xml:space="preserve"> EVENT or PROGRAM variables </w:t>
      </w:r>
      <w:r w:rsidRPr="002E1B58">
        <w:rPr>
          <w:vertAlign w:val="superscript"/>
        </w:rPr>
        <w:t>[30]</w:t>
      </w:r>
    </w:p>
    <w:p w14:paraId="2BD79F92" w14:textId="77777777" w:rsidR="002E1B58" w:rsidRDefault="002E1B58" w:rsidP="002E1B58"/>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r w:rsidR="00724D0B" w:rsidRPr="0096310D">
        <w:t>a,b</w:t>
      </w:r>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Is one of the left side strings in a list present on the right side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r w:rsidR="00FB2221">
        <w:t>notjim</w:t>
      </w:r>
      <w:proofErr w:type="spell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r>
        <w:t>NotAnyOfAny</w:t>
      </w:r>
      <w:proofErr w:type="spell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comparison, case insensitive. Ie.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A757829" w14:textId="16FE346C" w:rsidR="005A6CE6" w:rsidRDefault="005A6CE6" w:rsidP="00D6016E">
      <w:pPr>
        <w:pStyle w:val="ListParagraph"/>
        <w:numPr>
          <w:ilvl w:val="0"/>
          <w:numId w:val="6"/>
        </w:numPr>
        <w:spacing w:after="200"/>
      </w:pPr>
      <w:proofErr w:type="spellStart"/>
      <w:r>
        <w:t>NotMatchSemicolon</w:t>
      </w:r>
      <w:proofErr w:type="spell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r>
        <w:t>NotMatchSemicolonList</w:t>
      </w:r>
      <w:proofErr w:type="spell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r>
        <w:t>NotMatchCommaList</w:t>
      </w:r>
      <w:proofErr w:type="spell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The variables on the right side must be expanded using %()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Logical Not operator !</w:t>
            </w:r>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r w:rsidRPr="0096310D">
              <w:t>!=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&amp;&amp; And</w:t>
            </w:r>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r w:rsidRPr="0096310D">
        <w:t>&gt;,&lt;Caption&gt;,&lt;size&gt;,&lt;Variable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r w:rsidRPr="0096310D">
        <w:t>&gt;  ‘,</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 or width minimum size</w:t>
      </w:r>
    </w:p>
    <w:p w14:paraId="0BE1FEA3" w14:textId="7E863C17" w:rsidR="00710F90" w:rsidRDefault="00710F90" w:rsidP="00D6016E">
      <w:pPr>
        <w:ind w:left="720"/>
      </w:pPr>
      <w:r>
        <w:tab/>
        <w:t>&lt;</w:t>
      </w:r>
      <w:proofErr w:type="spellStart"/>
      <w:r>
        <w:t>hmin</w:t>
      </w:r>
      <w:proofErr w:type="spellEnd"/>
      <w:r>
        <w:t>&gt; = either ‘-‘ or height minimum size</w:t>
      </w:r>
    </w:p>
    <w:p w14:paraId="0184B77C" w14:textId="77777777" w:rsidR="00710F90" w:rsidRDefault="00710F90" w:rsidP="00D6016E">
      <w:pPr>
        <w:ind w:left="720"/>
      </w:pPr>
      <w:r>
        <w:tab/>
        <w:t>&lt;</w:t>
      </w:r>
      <w:proofErr w:type="spellStart"/>
      <w:r>
        <w:t>xpos</w:t>
      </w:r>
      <w:proofErr w:type="spellEnd"/>
      <w:r>
        <w:t xml:space="preserve">&gt; = either ‘-‘ or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 xml:space="preserve">&gt; = either ‘-‘ or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 or missing means no limit, or maximum width</w:t>
      </w:r>
    </w:p>
    <w:p w14:paraId="426C2FC5" w14:textId="77777777" w:rsidR="00710F90" w:rsidRDefault="00710F90" w:rsidP="00D6016E">
      <w:pPr>
        <w:ind w:left="720"/>
      </w:pPr>
      <w:r>
        <w:tab/>
        <w:t>&lt;</w:t>
      </w:r>
      <w:proofErr w:type="spellStart"/>
      <w:r>
        <w:t>hmax</w:t>
      </w:r>
      <w:proofErr w:type="spellEnd"/>
      <w:r>
        <w:t>&gt; either ‘-‘ or missing means no limit, or maximum height</w:t>
      </w:r>
    </w:p>
    <w:p w14:paraId="4B716B10" w14:textId="7DCB834F" w:rsidR="00710F90" w:rsidRDefault="00710F90" w:rsidP="00D6016E">
      <w:pPr>
        <w:ind w:left="720"/>
      </w:pPr>
      <w:r>
        <w:tab/>
        <w:t>&lt;</w:t>
      </w:r>
      <w:proofErr w:type="spellStart"/>
      <w:r>
        <w:t>wwanted</w:t>
      </w:r>
      <w:proofErr w:type="spellEnd"/>
      <w:r>
        <w:t>&gt;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 or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r w:rsidRPr="0096310D">
        <w:t>’ :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r w:rsidRPr="0096310D">
        <w:t>’ :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proofErr w:type="spellStart"/>
      <w:r w:rsidR="00411077">
        <w:t>NoShow</w:t>
      </w:r>
      <w:proofErr w:type="spellEnd"/>
      <w:r w:rsidR="00411077">
        <w:t>’</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r w:rsidR="00661014">
        <w:t>Resource:full</w:t>
      </w:r>
      <w:proofErr w:type="spell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r w:rsidR="00661014">
        <w:t>Resource:full</w:t>
      </w:r>
      <w:proofErr w:type="spell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r>
        <w:t>a,r,g,b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definition&gt;]…</w:t>
      </w:r>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 xml:space="preserve">&gt; = 1/0  Alpha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r>
        <w:t>row,col</w:t>
      </w:r>
      <w:proofErr w:type="spell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r w:rsidR="000672ED">
        <w:t>width,height</w:t>
      </w:r>
      <w:proofErr w:type="spell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r w:rsidRPr="0096310D">
        <w:t>OK,Button</w:t>
      </w:r>
      <w:proofErr w:type="spellEnd"/>
      <w:r w:rsidRPr="0096310D">
        <w:t>,\"Button OK\",10,30,100,20,\"Press for OK\""</w:t>
      </w:r>
    </w:p>
    <w:p w14:paraId="7B472B31" w14:textId="77777777" w:rsidR="000672ED" w:rsidRPr="0096310D" w:rsidRDefault="000672ED" w:rsidP="000672ED">
      <w:r w:rsidRPr="0096310D">
        <w:t>Set dvar2 = "</w:t>
      </w:r>
      <w:proofErr w:type="spellStart"/>
      <w:r w:rsidRPr="0096310D">
        <w:t>Cancel,Button</w:t>
      </w:r>
      <w:proofErr w:type="spellEnd"/>
      <w:r w:rsidRPr="0096310D">
        <w:t>,\"Button Cancel\",10,60,100,20,\"Press for Cancel\""</w:t>
      </w:r>
    </w:p>
    <w:p w14:paraId="7450FE91" w14:textId="77777777" w:rsidR="000672ED" w:rsidRPr="0096310D" w:rsidRDefault="000672ED" w:rsidP="000672ED">
      <w:r w:rsidRPr="0096310D">
        <w:t>Set dvar3 = "B1,Button,B1,10,110,100,20,\"Press for B1\""</w:t>
      </w:r>
    </w:p>
    <w:p w14:paraId="624305F9" w14:textId="77777777" w:rsidR="000672ED" w:rsidRPr="0096310D" w:rsidRDefault="000672ED" w:rsidP="000672ED">
      <w:r w:rsidRPr="0096310D">
        <w:t>Set dvar4 = "TB1,TextBox,Default,10,150,200,60,\"Enter text\",1"</w:t>
      </w:r>
    </w:p>
    <w:p w14:paraId="404900B1" w14:textId="77777777" w:rsidR="000672ED" w:rsidRPr="0096310D" w:rsidRDefault="000672ED" w:rsidP="000672ED">
      <w:r w:rsidRPr="0096310D">
        <w:t>Set dvar5 = "CB1,CheckBox,Check,10,250,200,20,\"Check Box\",1"</w:t>
      </w:r>
    </w:p>
    <w:p w14:paraId="4BAC5AF8" w14:textId="77777777" w:rsidR="000672ED" w:rsidRPr="0096310D" w:rsidRDefault="000672ED" w:rsidP="000672ED">
      <w:r w:rsidRPr="0096310D">
        <w:t>Set dvar6 = "DRP1,ComboBox,\"two\",100,60,200,20,\"Drop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r w:rsidRPr="00D6016E">
        <w:t>Show</w:t>
      </w:r>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floating point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r w:rsidR="00F905E1">
        <w:t>SetEscape</w:t>
      </w:r>
      <w:proofErr w:type="spell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&lt;value&gt; .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r>
        <w:t>NumberBoxDouble</w:t>
      </w:r>
      <w:proofErr w:type="spellEnd"/>
      <w:r>
        <w:t>, ..Int,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r>
        <w:t>AddText</w:t>
      </w:r>
      <w:proofErr w:type="spell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r>
        <w:t>AddRange</w:t>
      </w:r>
      <w:proofErr w:type="spellEnd"/>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r>
        <w:lastRenderedPageBreak/>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r>
        <w:t>AddSetRows</w:t>
      </w:r>
      <w:proofErr w:type="spellEnd"/>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definition&gt;]…</w:t>
      </w:r>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D6016E">
      <w:r>
        <w:t>[‘,’</w:t>
      </w:r>
      <w:r w:rsidR="0024149C" w:rsidRPr="0024149C">
        <w:t xml:space="preserve"> &lt;cell definition&gt; [ ‘,’ &lt;cell definition&gt;</w:t>
      </w:r>
      <w:r>
        <w:t>]…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 &lt;cell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r>
        <w:t>InsertColumn</w:t>
      </w:r>
      <w:r w:rsidR="003C2565">
        <w:t>s</w:t>
      </w:r>
      <w:proofErr w:type="spellEnd"/>
      <w:r w:rsidRPr="0096310D">
        <w:rPr>
          <w:vertAlign w:val="superscript"/>
        </w:rPr>
        <w:t>[</w:t>
      </w:r>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r>
        <w:t>RemoveColumns</w:t>
      </w:r>
      <w:proofErr w:type="spellEnd"/>
      <w:r w:rsidRPr="0096310D">
        <w:rPr>
          <w:vertAlign w:val="superscript"/>
        </w:rPr>
        <w:t>[</w:t>
      </w:r>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r>
        <w:t>RightClickMenu</w:t>
      </w:r>
      <w:proofErr w:type="spellEnd"/>
      <w:r w:rsidRPr="0096310D">
        <w:rPr>
          <w:vertAlign w:val="superscript"/>
        </w:rPr>
        <w:t>[</w:t>
      </w:r>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 &lt;tag&gt;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r>
        <w:t>GetColumn</w:t>
      </w:r>
      <w:r w:rsidR="0027467F">
        <w:t>s</w:t>
      </w:r>
      <w:r>
        <w:t>Setting</w:t>
      </w:r>
      <w:proofErr w:type="spellEnd"/>
      <w:r w:rsidRPr="0096310D">
        <w:rPr>
          <w:vertAlign w:val="superscript"/>
        </w:rPr>
        <w:t>[</w:t>
      </w:r>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r>
        <w:t>SetColumn</w:t>
      </w:r>
      <w:r w:rsidR="0027467F">
        <w:t>s</w:t>
      </w:r>
      <w:r>
        <w:t>Setting</w:t>
      </w:r>
      <w:proofErr w:type="spellEnd"/>
      <w:r w:rsidRPr="0096310D">
        <w:rPr>
          <w:vertAlign w:val="superscript"/>
        </w:rPr>
        <w:t>[</w:t>
      </w:r>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r>
        <w:t>SetDGVSetting</w:t>
      </w:r>
      <w:proofErr w:type="spellEnd"/>
      <w:r w:rsidRPr="0096310D">
        <w:rPr>
          <w:vertAlign w:val="superscript"/>
        </w:rPr>
        <w:t>[</w:t>
      </w:r>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&lt;single row select&gt;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r>
        <w:t>SetWordWrap</w:t>
      </w:r>
      <w:proofErr w:type="spellEnd"/>
      <w:r w:rsidRPr="0096310D">
        <w:rPr>
          <w:vertAlign w:val="superscript"/>
        </w:rPr>
        <w:t>[</w:t>
      </w:r>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r>
        <w:t>RemoveRows</w:t>
      </w:r>
      <w:proofErr w:type="spellEnd"/>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(0..N-1),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D6016E">
      <w:r w:rsidRPr="0096310D">
        <w:t>If no optional parameters are given, report the position of the dialog in the variables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If no optional parameters are given, report the size of the dialog in the variables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1CA490C" w:rsidR="00703904" w:rsidRDefault="00703904" w:rsidP="00D6016E">
      <w:r w:rsidRPr="0096310D">
        <w:t>If the optional parameters X,Y,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r>
        <w:t>CloseDropDownButton</w:t>
      </w:r>
      <w:proofErr w:type="spell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r>
        <w:t>IsAllValid</w:t>
      </w:r>
      <w:proofErr w:type="spell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D1,Get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D1,Get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r w:rsidRPr="0096310D">
        <w:t>FileDialog</w:t>
      </w:r>
      <w:proofErr w:type="spellEnd"/>
      <w:r w:rsidRPr="0096310D">
        <w:t xml:space="preserve">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SpeechCulture,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and </w:t>
      </w:r>
      <w:r w:rsidR="00EC2885">
        <w:t xml:space="preserve"> </w:t>
      </w:r>
      <w:proofErr w:type="spellStart"/>
      <w:r w:rsidR="00EC2885">
        <w:t>non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
    <w:p w14:paraId="693C663D" w14:textId="77777777" w:rsidR="00890FE8" w:rsidRPr="0096310D" w:rsidRDefault="00890FE8" w:rsidP="00D6016E">
      <w:r w:rsidRPr="0096310D">
        <w:t>&lt;group&gt; = ‘{‘ &lt;</w:t>
      </w:r>
      <w:proofErr w:type="spellStart"/>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w:t>
      </w:r>
      <w:proofErr w:type="spellStart"/>
      <w:r w:rsidRPr="0096310D">
        <w:t>a;b;c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r w:rsidRPr="0096310D">
        <w:t>a;b;c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r>
        <w:t>NoGlobalEffects</w:t>
      </w:r>
      <w:proofErr w:type="spell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C7CEF76" w14:textId="77777777" w:rsidR="00BD7B51" w:rsidRPr="0096310D" w:rsidRDefault="00BD7B51" w:rsidP="00D6016E">
      <w:r w:rsidRPr="0096310D">
        <w:t>&lt;start&gt; = &lt;length&gt; = literal, variable or “string” containing the integer value.</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r w:rsidRPr="0096310D">
        <w:t>S</w:t>
      </w:r>
      <w:r w:rsidR="00BD7B51" w:rsidRPr="0096310D">
        <w:t>plitcaps</w:t>
      </w:r>
      <w:proofErr w:type="spellEnd"/>
      <w:r>
        <w:t xml:space="preserve"> :</w:t>
      </w:r>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r w:rsidRPr="0096310D">
        <w:t>&gt;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r>
        <w:t>casesensitive</w:t>
      </w:r>
      <w:proofErr w:type="spellEnd"/>
      <w:r>
        <w:t xml:space="preser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proofErr w:type="spellStart"/>
      <w:r>
        <w:t>startswith</w:t>
      </w:r>
      <w:proofErr w:type="spellEnd"/>
      <w:r>
        <w:t xml:space="preserve"> </w:t>
      </w:r>
      <w:r w:rsidR="00DC2327">
        <w:t>:</w:t>
      </w:r>
      <w:r>
        <w:t xml:space="preserve"> entry starts with</w:t>
      </w:r>
    </w:p>
    <w:p w14:paraId="7C1B4AC8" w14:textId="02C4009B" w:rsidR="00DC2327" w:rsidRPr="0096310D" w:rsidRDefault="00DC2327" w:rsidP="00D6016E">
      <w:pPr>
        <w:ind w:firstLine="720"/>
      </w:pPr>
      <w:proofErr w:type="spellStart"/>
      <w:r>
        <w:t>Ignoremissing</w:t>
      </w:r>
      <w:proofErr w:type="spellEnd"/>
      <w:r>
        <w:t xml:space="preserve">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lastRenderedPageBreak/>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lastRenderedPageBreak/>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IfTrue,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D6016E">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lastRenderedPageBreak/>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floating point</w:t>
      </w:r>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lastRenderedPageBreak/>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w:t>
      </w:r>
      <w:proofErr w:type="spellStart"/>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 1,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r>
        <w:t>[]_Count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lastRenderedPageBreak/>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r>
        <w:t>json.Fred</w:t>
      </w:r>
      <w:proofErr w:type="spellEnd"/>
      <w:r>
        <w:t xml:space="preserve"> = 10</w:t>
      </w:r>
    </w:p>
    <w:p w14:paraId="65DB0A6C" w14:textId="77777777" w:rsidR="001F4C7E" w:rsidRDefault="001F4C7E" w:rsidP="001F4C7E">
      <w:proofErr w:type="spellStart"/>
      <w:r>
        <w:t>json.Jim</w:t>
      </w:r>
      <w:proofErr w:type="spellEnd"/>
      <w:r>
        <w:t xml:space="preserve"> = 20</w:t>
      </w:r>
    </w:p>
    <w:p w14:paraId="1F2BB1AB" w14:textId="77777777" w:rsidR="001F4C7E" w:rsidRDefault="001F4C7E" w:rsidP="001F4C7E">
      <w:proofErr w:type="spellStart"/>
      <w:r>
        <w:t>json.Abby.Clancy</w:t>
      </w:r>
      <w:proofErr w:type="spellEnd"/>
      <w:r>
        <w:t xml:space="preserve"> = 10</w:t>
      </w:r>
    </w:p>
    <w:p w14:paraId="6A4BBE31" w14:textId="77777777" w:rsidR="001F4C7E" w:rsidRDefault="001F4C7E" w:rsidP="001F4C7E">
      <w:proofErr w:type="spellStart"/>
      <w:r>
        <w:t>json.Abby.George.david</w:t>
      </w:r>
      <w:proofErr w:type="spellEnd"/>
      <w:r>
        <w:t xml:space="preserve"> = 10</w:t>
      </w:r>
    </w:p>
    <w:p w14:paraId="76CC4C2B" w14:textId="77777777" w:rsidR="001F4C7E" w:rsidRDefault="001F4C7E" w:rsidP="001F4C7E">
      <w:proofErr w:type="spellStart"/>
      <w:r>
        <w:t>json.Abby.George.edward</w:t>
      </w:r>
      <w:proofErr w:type="spellEnd"/>
      <w:r>
        <w:t xml:space="preserve"> = 20</w:t>
      </w:r>
    </w:p>
    <w:p w14:paraId="011220F6" w14:textId="275EBC9E" w:rsidR="00F00B3E" w:rsidRDefault="00F00B3E" w:rsidP="001F4C7E">
      <w:proofErr w:type="spellStart"/>
      <w:r>
        <w:t>json.Flag_BOOL</w:t>
      </w:r>
      <w:proofErr w:type="spellEnd"/>
      <w:r>
        <w:t>=1</w:t>
      </w:r>
    </w:p>
    <w:p w14:paraId="1692FCD1" w14:textId="77777777" w:rsidR="001F4C7E" w:rsidRDefault="001F4C7E" w:rsidP="001F4C7E">
      <w:proofErr w:type="spellStart"/>
      <w:r>
        <w:t>json.End</w:t>
      </w:r>
      <w:proofErr w:type="spell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4F66BC60" w14:textId="63935545" w:rsidR="002F1327" w:rsidRPr="0096310D" w:rsidRDefault="002F1327" w:rsidP="00D6016E">
      <w:pPr>
        <w:pStyle w:val="Heading3"/>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D6016E">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D6016E">
      <w:r w:rsidRPr="0096310D">
        <w:lastRenderedPageBreak/>
        <w:t>&lt;text&gt; = variable or “String”</w:t>
      </w:r>
    </w:p>
    <w:p w14:paraId="37BDB8CA" w14:textId="0B728474" w:rsidR="00EC2885" w:rsidRPr="0096310D" w:rsidRDefault="00EC2885" w:rsidP="00D6016E">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D6016E">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D6016E">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D6016E"/>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lastRenderedPageBreak/>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&lt;pathpart1&gt;,&lt;pathpart2&gt;…)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Example  is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%FileExists(</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lastRenderedPageBreak/>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lastRenderedPageBreak/>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lastRenderedPageBreak/>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lastRenderedPageBreak/>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removed  as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r>
        <w:t>BodyName</w:t>
      </w:r>
      <w:proofErr w:type="spellEnd"/>
      <w:r>
        <w:t xml:space="preserve">  –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Class_EventTypeStr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[0]_</w:t>
      </w:r>
      <w:proofErr w:type="spellStart"/>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Default="00CA1A3F" w:rsidP="00CA1A3F">
      <w:r w:rsidRPr="0096310D">
        <w:t>&lt;variable-</w:t>
      </w:r>
      <w:proofErr w:type="spellStart"/>
      <w:r w:rsidRPr="0096310D">
        <w:t>rootname</w:t>
      </w:r>
      <w:proofErr w:type="spellEnd"/>
      <w:r w:rsidRPr="0096310D">
        <w:t>&gt; = Literal, variable or ”String”.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Then  splits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variable or ”String”</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r>
        <w:rPr>
          <w:sz w:val="22"/>
        </w:rPr>
        <w:t>tag;tag</w:t>
      </w:r>
      <w:proofErr w:type="spell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r>
        <w:t>DialogResult</w:t>
      </w:r>
      <w:proofErr w:type="spell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r w:rsidRPr="0096310D">
        <w:t>ConfigureVoice</w:t>
      </w:r>
      <w:proofErr w:type="spell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r>
        <w:t>DialogResult</w:t>
      </w:r>
      <w:proofErr w:type="spell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r w:rsidRPr="0096310D">
        <w:t>ConfigureWave</w:t>
      </w:r>
      <w:proofErr w:type="spell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lastRenderedPageBreak/>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r>
        <w:t>PanelAction</w:t>
      </w:r>
      <w:proofErr w:type="spell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 xml:space="preserve">&gt;]..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r>
        <w:t>Action</w:t>
      </w:r>
      <w:r w:rsidRPr="0096310D">
        <w:t>Event</w:t>
      </w:r>
      <w:proofErr w:type="spellEnd"/>
      <w:r w:rsidRPr="0096310D">
        <w:t xml:space="preserve">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r>
        <w:t xml:space="preserve"> :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r>
        <w:t xml:space="preserve"> :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r w:rsidRPr="0096310D">
        <w:t>&gt;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 =  information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w:t>
      </w:r>
      <w:r>
        <w:t xml:space="preserve"> Short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 xml:space="preserve">These variable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r>
        <w:t>EDSMLookup</w:t>
      </w:r>
      <w:proofErr w:type="spellEnd"/>
      <w:r>
        <w:t xml:space="preserve"> :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r>
        <w:t>EDSMNoData</w:t>
      </w:r>
      <w:proofErr w:type="spellEnd"/>
      <w:r>
        <w:t xml:space="preserve"> : set to 1 if EDSM lookup returned no data</w:t>
      </w:r>
    </w:p>
    <w:p w14:paraId="6081A4A1" w14:textId="359CCE9F" w:rsidR="003D5B17" w:rsidRDefault="003D5B17" w:rsidP="003D5B17">
      <w:pPr>
        <w:pStyle w:val="ListParagraph"/>
        <w:numPr>
          <w:ilvl w:val="0"/>
          <w:numId w:val="5"/>
        </w:numPr>
      </w:pPr>
      <w:r>
        <w:t xml:space="preserve">Prefix + </w:t>
      </w:r>
      <w:proofErr w:type="spellStart"/>
      <w:r>
        <w:t>SpanshLookup</w:t>
      </w:r>
      <w:proofErr w:type="spell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r>
        <w:t>SpanshNoData</w:t>
      </w:r>
      <w:proofErr w:type="spell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 </w:t>
      </w:r>
      <w:r w:rsidRPr="0096310D">
        <w:t xml:space="preserve"> </w:t>
      </w:r>
      <w:r>
        <w:t xml:space="preserve">Alternative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90</Pages>
  <Words>22955</Words>
  <Characters>130847</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121</cp:revision>
  <dcterms:created xsi:type="dcterms:W3CDTF">2024-03-01T08:56:00Z</dcterms:created>
  <dcterms:modified xsi:type="dcterms:W3CDTF">2024-11-05T12:52:00Z</dcterms:modified>
</cp:coreProperties>
</file>