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bCs/>
          <w:color w:val="E50914"/>
          <w:sz w:val="20"/>
          <w:szCs w:val="20"/>
        </w:rPr>
        <w:t>DSC 640 · DATA PRESENTATION &amp; VISUALIZATION</w:t>
      </w:r>
    </w:p>
    <w:p>
      <w:pPr>
        <w:pStyle w:val="Normal"/>
        <w:spacing w:before="0" w:after="20"/>
        <w:rPr/>
      </w:pPr>
      <w:r>
        <w:rPr>
          <w:b/>
          <w:bCs/>
          <w:sz w:val="40"/>
          <w:szCs w:val="40"/>
        </w:rPr>
        <w:t>Films Win the Opening Week. TV Owns the Long Tail.</w:t>
      </w:r>
    </w:p>
    <w:p>
      <w:pPr>
        <w:pStyle w:val="Normal"/>
        <w:spacing w:before="0" w:after="60"/>
        <w:rPr/>
      </w:pPr>
      <w:r>
        <w:rPr>
          <w:i/>
          <w:iCs/>
          <w:color w:val="595959"/>
          <w:sz w:val="24"/>
          <w:szCs w:val="24"/>
        </w:rPr>
        <w:t>A Netflix Top 10 content-strategy briefing</w:t>
      </w:r>
    </w:p>
    <w:p>
      <w:pPr>
        <w:pStyle w:val="Normal"/>
        <w:pBdr>
          <w:bottom w:val="single" w:sz="12" w:space="6" w:color="E50914"/>
        </w:pBdr>
        <w:rPr/>
      </w:pPr>
      <w:r>
        <w:rPr/>
      </w:r>
    </w:p>
    <w:p>
      <w:pPr>
        <w:pStyle w:val="Heading1"/>
        <w:rPr/>
      </w:pPr>
      <w:r>
        <w:rPr/>
        <w:t>The story</w:t>
      </w:r>
    </w:p>
    <w:p>
      <w:pPr>
        <w:pStyle w:val="Normal"/>
        <w:spacing w:before="0" w:after="140"/>
        <w:rPr/>
      </w:pPr>
      <w:r>
        <w:rPr/>
        <w:t xml:space="preserve">Across 146 weeks and 94 countries, films and serialized TV split the weekly #1 slot evenly: films are superb at the loud launch. But the moment you look past opening week, the picture flips. </w:t>
      </w:r>
      <w:r>
        <w:rPr>
          <w:b/>
          <w:bCs/>
        </w:rPr>
        <w:t>TV titles linger in the Top 10 roughly 50% longer than films, are about 2.6× more likely to last five weeks or more, and pull 3.6× the first-91-day hours among all-time hits. The single most durable bet on the platform is non-English TV.</w:t>
      </w:r>
    </w:p>
    <w:p>
      <w:pPr>
        <w:pStyle w:val="Normal"/>
        <w:spacing w:before="0" w:after="140"/>
        <w:rPr/>
      </w:pPr>
      <w:r>
        <w:rPr/>
        <w:t>Durability is not a vanity metric. Weekly staying power is what keeps a subscriber opening the app, and the format that produces it most efficiently deserves a larger slice of marginal spend.</w:t>
      </w:r>
    </w:p>
    <w:p>
      <w:pPr>
        <w:pStyle w:val="Heading1"/>
        <w:rPr/>
      </w:pPr>
      <w:r>
        <w:rPr/>
        <w:t>The evidence: six core visuals</w:t>
      </w:r>
    </w:p>
    <w:p>
      <w:pPr>
        <w:pStyle w:val="Heading2"/>
        <w:rPr/>
      </w:pPr>
      <w:r>
        <w:rPr/>
        <w:t>1. Staying power: TV lingers, films flame out</w:t>
      </w:r>
    </w:p>
    <w:p>
      <w:pPr>
        <w:pStyle w:val="Normal"/>
        <w:spacing w:before="0" w:after="140"/>
        <w:rPr/>
      </w:pPr>
      <w:r>
        <w:rPr/>
        <w:t>Each unique title is plotted by how many weeks it held the global Top 10. Film is a spike at weeks one and two; TV carries a long right tail of multi-week residents.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5334000" cy="2962275"/>
            <wp:effectExtent l="0" t="0" r="0" b="0"/>
            <wp:docPr id="1" name="01_staying_power_dist.png" descr="Figure 1 — Distribution of weeks in the global Top 10, Film vs TV (Source: all-weeks-global)." title="Figure 1 — Distribution of weeks in the global Top 10, Film vs TV (Source: all-weeks-glob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staying_power_dist.png" descr="Figure 1 — Distribution of weeks in the global Top 10, Film vs TV (Source: all-weeks-global)." title="Figure 1 — Distribution of weeks in the global Top 10, Film vs TV (Source: all-weeks-global)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95959"/>
          <w:sz w:val="18"/>
          <w:szCs w:val="18"/>
        </w:rPr>
        <w:t>Figure 1 — Distribution of weeks in the global Top 10, Film vs TV (Source: all-weeks-global).</w:t>
      </w:r>
    </w:p>
    <w:p>
      <w:pPr>
        <w:pStyle w:val="Heading2"/>
        <w:rPr/>
      </w:pPr>
      <w:r>
        <w:rPr/>
        <w:t>2. The marathon titles are serialized TV</w:t>
      </w:r>
    </w:p>
    <w:p>
      <w:pPr>
        <w:pStyle w:val="Normal"/>
        <w:spacing w:before="0" w:after="140"/>
        <w:rPr/>
      </w:pPr>
      <w:r>
        <w:rPr/>
        <w:t>Ten of the twelve longest-running titles are TV, led by non-English telenovelas (Yo soy Betty, la fea; Café con aroma de mujer) and Korean drama.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5143500" cy="3429000"/>
            <wp:effectExtent l="0" t="0" r="0" b="0"/>
            <wp:docPr id="2" name="02_top_runners.png" descr="Figure 2 — Longest-running Top 10 titles, 2021–2024 (Source: all-weeks-global)." title="Figure 2 — Longest-running Top 10 titles, 2021–2024 (Source: all-weeks-glob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top_runners.png" descr="Figure 2 — Longest-running Top 10 titles, 2021–2024 (Source: all-weeks-global)." title="Figure 2 — Longest-running Top 10 titles, 2021–2024 (Source: all-weeks-global)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95959"/>
          <w:sz w:val="18"/>
          <w:szCs w:val="18"/>
        </w:rPr>
        <w:t>Figure 2 — Longest-running Top 10 titles, 2021–2024 (Source: all-weeks-global).</w:t>
      </w:r>
    </w:p>
    <w:p>
      <w:pPr>
        <w:pStyle w:val="Heading2"/>
        <w:rPr/>
      </w:pPr>
      <w:r>
        <w:rPr/>
        <w:t>3. All-time demand: TV pulls 3.6× the hours</w:t>
      </w:r>
    </w:p>
    <w:p>
      <w:pPr>
        <w:pStyle w:val="Normal"/>
        <w:spacing w:before="0" w:after="140"/>
        <w:rPr/>
      </w:pPr>
      <w:r>
        <w:rPr/>
        <w:t>On Netflix’s all-time most-popular list, even the weakest TV quadrant out-draws the strongest film quadrant over a title’s first 91 days.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5143500" cy="2857500"/>
            <wp:effectExtent l="0" t="0" r="0" b="0"/>
            <wp:docPr id="3" name="03_popular_hours.png" descr="Figure 3 — Average first-91-day hours by category (Source: most-popular)." title="Figure 3 — Average first-91-day hours by category (Source: most-popular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popular_hours.png" descr="Figure 3 — Average first-91-day hours by category (Source: most-popular)." title="Figure 3 — Average first-91-day hours by category (Source: most-popular)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95959"/>
          <w:sz w:val="18"/>
          <w:szCs w:val="18"/>
        </w:rPr>
        <w:t>Figure 3 — Average first-91-day hours by category (Source: most-popular).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r>
        <w:rPr/>
        <w:t>4. Country durability: TV is held far longer, everywhere</w:t>
      </w:r>
    </w:p>
    <w:p>
      <w:pPr>
        <w:pStyle w:val="Normal"/>
        <w:spacing w:before="0" w:after="140"/>
        <w:rPr/>
      </w:pPr>
      <w:r>
        <w:rPr/>
        <w:t>TV holds a country’s Top 10 for 4.8 weeks on average versus 2.1 for film. Latin-American markets cling to serialized TV longest — the telenovela effect.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5143500" cy="3714750"/>
            <wp:effectExtent l="0" t="0" r="0" b="0"/>
            <wp:docPr id="4" name="04_country_durability.png" descr="Figure 4 — Average weeks a TV title holds a country Top 10; gold line = global film avg (Source: all-weeks-countries)." title="Figure 4 — Average weeks a TV title holds a country Top 10; gold line = global film avg (Source: all-weeks-countri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_country_durability.png" descr="Figure 4 — Average weeks a TV title holds a country Top 10; gold line = global film avg (Source: all-weeks-countries)." title="Figure 4 — Average weeks a TV title holds a country Top 10; gold line = global film avg (Source: all-weeks-countries)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95959"/>
          <w:sz w:val="18"/>
          <w:szCs w:val="18"/>
        </w:rPr>
        <w:t>Figure 4 — Average weeks a TV title holds a country Top 10; gold line = global film avg (Source: all-weeks-countries).</w:t>
      </w:r>
    </w:p>
    <w:p>
      <w:pPr>
        <w:pStyle w:val="Heading2"/>
        <w:rPr/>
      </w:pPr>
      <w:r>
        <w:rPr/>
        <w:t>5. The gap is persistent, not a fluke</w:t>
      </w:r>
    </w:p>
    <w:p>
      <w:pPr>
        <w:pStyle w:val="Normal"/>
        <w:spacing w:before="0" w:after="140"/>
        <w:rPr/>
      </w:pPr>
      <w:r>
        <w:rPr/>
        <w:t xml:space="preserve">Month by month across three years, the TV durability line sits above film almost without exception. </w:t>
      </w:r>
      <w:r>
        <w:rPr/>
        <w:t>T</w:t>
      </w:r>
      <w:r>
        <w:rPr/>
        <w:t>his is structural, not a single breakout hit.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5334000" cy="2667000"/>
            <wp:effectExtent l="0" t="0" r="0" b="0"/>
            <wp:docPr id="5" name="05_trend.png" descr="Figure 5 — Monthly average staying power, Film vs TV (Source: all-weeks-global)." title="Figure 5 — Monthly average staying power, Film vs TV (Source: all-weeks-glob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_trend.png" descr="Figure 5 — Monthly average staying power, Film vs TV (Source: all-weeks-global)." title="Figure 5 — Monthly average staying power, Film vs TV (Source: all-weeks-global)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95959"/>
          <w:sz w:val="18"/>
          <w:szCs w:val="18"/>
        </w:rPr>
        <w:t>Figure 5 — Monthly average staying power, Film vs TV (Source: all-weeks-global).</w:t>
      </w:r>
    </w:p>
    <w:p>
      <w:pPr>
        <w:pStyle w:val="Heading2"/>
        <w:rPr/>
      </w:pPr>
      <w:r>
        <w:rPr/>
        <w:t>6. The most durable quadrant: Non-English TV</w:t>
      </w:r>
    </w:p>
    <w:p>
      <w:pPr>
        <w:pStyle w:val="Normal"/>
        <w:spacing w:before="0" w:after="140"/>
        <w:rPr/>
      </w:pPr>
      <w:r>
        <w:rPr/>
        <w:t>Splitting by language confirms where to lean: non-English TV (3.81 weeks) is the most durable cell in the matrix.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4476750" cy="2981325"/>
            <wp:effectExtent l="0" t="0" r="0" b="0"/>
            <wp:docPr id="6" name="06_lang_matrix.png" descr="Figure 6 — Average weeks in Top 10 by type × language (Source: all-weeks-global)." title="Figure 6 — Average weeks in Top 10 by type × language (Source: all-weeks-glob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_lang_matrix.png" descr="Figure 6 — Average weeks in Top 10 by type × language (Source: all-weeks-global)." title="Figure 6 — Average weeks in Top 10 by type × language (Source: all-weeks-global)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95959"/>
          <w:sz w:val="18"/>
          <w:szCs w:val="18"/>
        </w:rPr>
        <w:t>Figure 6 — Average weeks in Top 10 by type × language (Source: all-weeks-global).</w:t>
      </w:r>
    </w:p>
    <w:p>
      <w:pPr>
        <w:pStyle w:val="Heading1"/>
        <w:spacing w:before="0" w:after="160"/>
        <w:rPr/>
      </w:pPr>
      <w:r>
        <w:rPr/>
        <w:t>Call to action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Reallocate a defined slice of next year’s marginal content budget </w:t>
      </w:r>
      <w:r>
        <w:rPr>
          <w:b/>
          <w:bCs/>
        </w:rPr>
        <w:t>(</w:t>
      </w:r>
      <w:r>
        <w:rPr>
          <w:b/>
          <w:bCs/>
        </w:rPr>
        <w:t>on the order of 10–15%</w:t>
      </w:r>
      <w:r>
        <w:rPr>
          <w:b/>
          <w:bCs/>
        </w:rPr>
        <w:t>)</w:t>
      </w:r>
      <w:r>
        <w:rPr>
          <w:b/>
          <w:bCs/>
        </w:rPr>
        <w:t xml:space="preserve"> </w:t>
      </w:r>
      <w:r>
        <w:rPr>
          <w:b/>
          <w:bCs/>
        </w:rPr>
        <w:t>f</w:t>
      </w:r>
      <w:r>
        <w:rPr>
          <w:b/>
          <w:bCs/>
        </w:rPr>
        <w:t xml:space="preserve">rom one-off films toward returnable, non-English serialized TV. </w:t>
      </w:r>
      <w:r>
        <w:rPr/>
        <w:t>Keep films for the launch splash they reliably deliver; redirect growth spend toward the format that compounds weekly engagement. Measure it honestly: track average weeks-in-Top-10 and 91-day hours per production dollar by format, reviewed quarterly, and revisit the tilt if the durability gap narrows.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Summary Notes</w:t>
      </w:r>
    </w:p>
    <w:p>
      <w:pPr>
        <w:pStyle w:val="Heading2"/>
        <w:rPr/>
      </w:pPr>
      <w:r>
        <w:rPr/>
        <w:t>Audience, purpose, and medium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Audience. </w:t>
      </w:r>
      <w:r>
        <w:rPr/>
        <w:t>Netflix executives and board members: insiders who know the business but are time-poor and outcome-focused. They are fluent in metrics like engagement and churn, so light jargon (“staying power,” “91-day hours”) is fair game, but they want the implication, not a data-literacy lecture.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Purpose. </w:t>
      </w:r>
      <w:r>
        <w:rPr/>
        <w:t xml:space="preserve">This is persuasive, not merely informational. The intent is a decision: approve a budget tilt toward serialized non-English TV. The audience should walk away understanding one thing: films win opening week, but TV owns the durable engagement that fights churn. </w:t>
      </w:r>
      <w:r>
        <w:rPr/>
        <w:t xml:space="preserve">They should be </w:t>
      </w:r>
      <w:r>
        <w:rPr/>
        <w:t xml:space="preserve">asked to act on </w:t>
      </w:r>
      <w:r>
        <w:rPr/>
        <w:t>that understanding</w:t>
      </w:r>
      <w:r>
        <w:rPr/>
        <w:t>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Medium. </w:t>
      </w:r>
      <w:r>
        <w:rPr/>
        <w:t>Written</w:t>
      </w:r>
      <w:r>
        <w:rPr/>
        <w:t xml:space="preserve"> document that carries the narrative and call to action. The </w:t>
      </w:r>
      <w:r>
        <w:rPr/>
        <w:t>document</w:t>
      </w:r>
      <w:r>
        <w:rPr/>
        <w:t xml:space="preserve"> suits executives who want </w:t>
      </w:r>
      <w:r>
        <w:rPr/>
        <w:t>all the relevant information for a decision and only that information.</w:t>
      </w:r>
    </w:p>
    <w:p>
      <w:pPr>
        <w:pStyle w:val="Heading2"/>
        <w:rPr/>
      </w:pPr>
      <w:r>
        <w:rPr/>
        <w:t>Design strategy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Color. </w:t>
      </w:r>
      <w:r>
        <w:rPr/>
        <w:t>A restrained Netflix palette, its signature red reserved exclusively for TV (the protagonist of the story) and neutral grey for film, so the comparison reads pre-attentively without a legend. Gold marks reference lines only.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Text. </w:t>
      </w:r>
      <w:r>
        <w:rPr/>
        <w:t>Headlines state the takeaway as a sentence, not a label; chart captions name the source dataset.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Alignment &amp; spacing. </w:t>
      </w:r>
      <w:r>
        <w:rPr/>
        <w:t>A consistent grid, generous whitespace.</w:t>
      </w:r>
    </w:p>
    <w:p>
      <w:pPr>
        <w:pStyle w:val="Heading2"/>
        <w:rPr/>
      </w:pPr>
      <w:r>
        <w:rPr/>
        <w:t>Ethical considerations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Transformations. </w:t>
      </w:r>
      <w:r>
        <w:rPr/>
        <w:t>Netflix’s four categories were collapsed to Film vs TV for the headline (language preserved separately); per-title durability uses the maximum cumulative-weeks value to avoid double-counting weekly rows. No weeks or countries were filtered out, and missing runtime/season fields were left un-imputed.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Avoiding a misleading metric. </w:t>
      </w:r>
      <w:r>
        <w:rPr/>
        <w:t>Each country-week contains exactly ten film and ten TV slots, so raw slot “share” is 50/50 by construction; presenting that as a finding would mislead. Durability (weeks held) and reach (countries charted) are reported instead, and the film-favoring reach chart is shown rather than hidden.</w:t>
      </w:r>
    </w:p>
    <w:p>
      <w:pPr>
        <w:pStyle w:val="Normal"/>
        <w:spacing w:before="0" w:after="140"/>
        <w:rPr/>
      </w:pPr>
      <w:r>
        <w:rPr>
          <w:b/>
          <w:bCs/>
        </w:rPr>
        <w:t xml:space="preserve">Sourcing, credibility, and risk. </w:t>
      </w:r>
      <w:r>
        <w:rPr/>
        <w:t xml:space="preserve">Data comes directly from Netflix’s public Tudum Top 10 release </w:t>
      </w:r>
      <w:r>
        <w:rPr/>
        <w:t>which is</w:t>
      </w:r>
      <w:r>
        <w:rPr/>
        <w:t xml:space="preserve"> self-reported, and therefore subject to the publisher’s own definitions, </w:t>
      </w:r>
      <w:r>
        <w:rPr/>
        <w:t>which is a considerable caveat to the integrity of the data</w:t>
      </w:r>
      <w:r>
        <w:rPr/>
        <w:t>. The main risk is over-generalizing: Top 10 lists capture the hits, not the full catalog or profitability, so the recommendation is framed as a marginal-budget tilt with quarterly review, not a wholesale strategy. Mitigation is transparenc</w:t>
      </w:r>
      <w:r>
        <w:rPr/>
        <w:t xml:space="preserve">y: </w:t>
      </w:r>
      <w:r>
        <w:rPr/>
        <w:t>every chart cites its dataset, assumptions are logged in the notebook, and the ask is bounded and measurable.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60" w:after="160"/>
      <w:outlineLvl w:val="0"/>
    </w:pPr>
    <w:rPr>
      <w:rFonts w:ascii="Arial" w:hAnsi="Arial" w:eastAsia="Arial" w:cs="Arial"/>
      <w:b/>
      <w:bCs/>
      <w:color w:val="141414"/>
      <w:sz w:val="30"/>
      <w:szCs w:val="30"/>
    </w:rPr>
  </w:style>
  <w:style w:type="paragraph" w:styleId="Heading2">
    <w:name w:val="heading 2"/>
    <w:basedOn w:val="Heading"/>
    <w:qFormat/>
    <w:pPr>
      <w:spacing w:before="180" w:after="100"/>
      <w:outlineLvl w:val="1"/>
    </w:pPr>
    <w:rPr>
      <w:rFonts w:ascii="Arial" w:hAnsi="Arial" w:eastAsia="Arial" w:cs="Arial"/>
      <w:b/>
      <w:bCs/>
      <w:color w:val="E50914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2933</TotalTime>
  <Application>LibreOffice/26.2.4.2$Linux_X86_64 LibreOffice_project/620$Build-2</Application>
  <AppVersion>15.0000</AppVersion>
  <Pages>5</Pages>
  <Words>855</Words>
  <Characters>4586</Characters>
  <CharactersWithSpaces>5406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2026-06-20T01:13:40Z</dcterms:created>
  <dc:creator>Un-named</dc:creator>
  <dc:description/>
  <dc:language>en-US</dc:language>
  <cp:lastModifiedBy/>
  <dcterms:modified xsi:type="dcterms:W3CDTF">2026-06-21T21:48:46Z</dcterms:modified>
  <cp:revision>2</cp:revision>
  <dc:subject/>
  <dc:title/>
</cp:coreProperties>
</file>