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b/>
          <w:color w:val="1F3B57"/>
          <w:sz w:val="40"/>
        </w:rPr>
        <w:t>The Second Rent</w:t>
      </w:r>
    </w:p>
    <w:p>
      <w:pPr>
        <w:pStyle w:val="Normal"/>
        <w:rPr/>
      </w:pPr>
      <w:r>
        <w:rPr>
          <w:i/>
          <w:color w:val="555555"/>
          <w:sz w:val="22"/>
        </w:rPr>
        <w:t>Project Proposal &amp; Analysis Summary: National Database of Childcare Prices</w:t>
      </w:r>
    </w:p>
    <w:p>
      <w:pPr>
        <w:pStyle w:val="Normal"/>
        <w:rPr>
          <w:color w:val="777777"/>
          <w:sz w:val="20"/>
        </w:rPr>
      </w:pPr>
      <w:r>
        <w:rPr>
          <w:color w:val="777777"/>
          <w:sz w:val="20"/>
        </w:rPr>
        <w:t>DSC 640 Term Project</w:t>
      </w:r>
    </w:p>
    <w:p>
      <w:pPr>
        <w:pStyle w:val="Normal"/>
        <w:rPr/>
      </w:pPr>
      <w:r>
        <w:rPr>
          <w:color w:val="777777"/>
          <w:sz w:val="20"/>
        </w:rPr>
        <w:t xml:space="preserve">David </w:t>
      </w:r>
      <w:r>
        <w:rPr>
          <w:color w:val="777777"/>
          <w:sz w:val="20"/>
        </w:rPr>
        <w:t>Jorgensen</w:t>
      </w:r>
    </w:p>
    <w:p>
      <w:pPr>
        <w:pStyle w:val="Normal"/>
        <w:rPr/>
      </w:pPr>
      <w:r>
        <w:rPr/>
      </w:r>
    </w:p>
    <w:p>
      <w:pPr>
        <w:pStyle w:val="Heading2"/>
        <w:spacing w:before="200" w:after="80"/>
        <w:rPr/>
      </w:pPr>
      <w:r>
        <w:rPr/>
        <w:t>Summary of Analysis</w:t>
      </w:r>
    </w:p>
    <w:p>
      <w:pPr>
        <w:pStyle w:val="Normal"/>
        <w:rPr/>
      </w:pPr>
      <w:r>
        <w:rPr/>
        <w:t xml:space="preserve">I explored the U.S. Department of Labor’s National Database of Childcare Prices: 34,567 county-year records covering all 3,144 U.S. counties from 2008 to 2018, across 227 fields spanning childcare prices, household income, unemployment, and female labor-force participation. Prices are full-time weekly rates, split by setting (center-based versus a family childcare home) and by child age (infant, toddler, preschool). I anchored the whole analysis on one ratio: the annualized price of center-based infant care divided by median household income, </w:t>
      </w:r>
      <w:r>
        <w:rPr/>
        <w:t xml:space="preserve">which gives me </w:t>
      </w:r>
      <w:r>
        <w:rPr/>
        <w:t>the cleanest read on whether a working family can actually afford care.</w:t>
      </w:r>
    </w:p>
    <w:p>
      <w:pPr>
        <w:pStyle w:val="Heading2"/>
        <w:spacing w:before="200" w:after="80"/>
        <w:rPr/>
      </w:pPr>
      <w:r>
        <w:rPr/>
        <w:t>Findings</w:t>
      </w:r>
    </w:p>
    <w:p>
      <w:pPr>
        <w:pStyle w:val="Normal"/>
        <w:rPr/>
      </w:pPr>
      <w:r>
        <w:rPr/>
        <w:t xml:space="preserve">One number organizes everything: the typical county spends roughly 16% of its median household income on infant care, against a federal affordability benchmark of 7%. In 99.9% of reporting counties, infant care </w:t>
      </w:r>
      <w:r>
        <w:rPr/>
        <w:t>greatly exceeds that benchmark</w:t>
      </w:r>
      <w:r>
        <w:rPr/>
        <w:t xml:space="preserve">; in 59%, it tops 15%. Two premiums compound the squeeze: infant care runs about 18% above preschool, and a center costs about 26% more than a home-based provider. </w:t>
      </w:r>
      <w:r>
        <w:rPr/>
        <w:t>T</w:t>
      </w:r>
      <w:r>
        <w:rPr/>
        <w:t xml:space="preserve">he priciest option lands exactly when a family is youngest and most stretched. Adjusted for inflation, infant prices still climbed about 9% in real terms over the decade. Geography reshuffles the burden: Massachusetts, California, Alaska, Hawaii, and Vermont all clear 21% of income, while the “cheapest” states </w:t>
      </w:r>
      <w:r>
        <w:rPr/>
        <w:t>like</w:t>
      </w:r>
      <w:r>
        <w:rPr/>
        <w:t xml:space="preserve"> Mississippi </w:t>
      </w:r>
      <w:r>
        <w:rPr/>
        <w:t xml:space="preserve">and </w:t>
      </w:r>
      <w:r>
        <w:rPr/>
        <w:t>South Dakota only look affordable because incomes there are low.</w:t>
      </w:r>
    </w:p>
    <w:p>
      <w:pPr>
        <w:pStyle w:val="Heading2"/>
        <w:spacing w:before="200" w:after="80"/>
        <w:rPr/>
      </w:pPr>
      <w:r>
        <w:rPr/>
        <w:t>Assumptions</w:t>
      </w:r>
    </w:p>
    <w:p>
      <w:pPr>
        <w:pStyle w:val="Normal"/>
        <w:rPr/>
      </w:pPr>
      <w:r>
        <w:rPr/>
        <w:t>I treat each county’s published median price as representative, annualize weekly prices at ×52 (full-time, year-round), and use CPI-U to restate 2008 dollars in 2018 terms. I also assume median household income is a fair denominator, even though families with infants skew younger and earn below the county median, which makes my burden figures conservative rather than alarmist.</w:t>
      </w:r>
    </w:p>
    <w:p>
      <w:pPr>
        <w:pStyle w:val="Heading2"/>
        <w:spacing w:before="200" w:after="80"/>
        <w:rPr/>
      </w:pPr>
      <w:r>
        <w:rPr/>
        <w:t>Items That Still Need Clarification</w:t>
      </w:r>
    </w:p>
    <w:p>
      <w:pPr>
        <w:pStyle w:val="Normal"/>
        <w:rPr/>
      </w:pPr>
      <w:r>
        <w:rPr/>
        <w:t>Whether the prices reflect sticker rates or subsidized net costs; how the roughly one-third of counties with suppressed prices differ from those that report; and whether “infant” age bands line up across state licensing definitions. Before publishing any state ranking, I’d want to confirm each state’s underlying price-collection methodology.</w:t>
      </w:r>
    </w:p>
    <w:p>
      <w:pPr>
        <w:pStyle w:val="Heading2"/>
        <w:spacing w:before="200" w:after="80"/>
        <w:rPr/>
      </w:pPr>
      <w:r>
        <w:rPr/>
        <w:t>Direction of the Story / Plan of Attack / Message</w:t>
      </w:r>
    </w:p>
    <w:p>
      <w:pPr>
        <w:pStyle w:val="Normal"/>
        <w:rPr/>
      </w:pPr>
      <w:r>
        <w:rPr/>
        <w:t xml:space="preserve">The story is that childcare has become a second rent. I will deliberately not claim that childcare costs push mothers out of the workforce </w:t>
      </w:r>
      <w:r>
        <w:rPr/>
        <w:t>(</w:t>
      </w:r>
      <w:r>
        <w:rPr/>
        <w:t>the raw correlation between price and female labor-force participation is near zero and badly confounded by income</w:t>
      </w:r>
      <w:r>
        <w:rPr/>
        <w:t>),</w:t>
      </w:r>
      <w:r>
        <w:rPr/>
        <w:t xml:space="preserve"> and that restraint is part of the piece’s integrity. The message is narrower and sturdier: by the government’s own standard, childcare is unaffordable almost everywhere, the squeeze is worst for infants, and over the decade it got worse, not better.</w:t>
      </w:r>
    </w:p>
    <w:p>
      <w:pPr>
        <w:pStyle w:val="Heading2"/>
        <w:spacing w:before="200" w:after="80"/>
        <w:rPr/>
      </w:pPr>
      <w:r>
        <w:rPr/>
        <w:t>Target Audience</w:t>
      </w:r>
    </w:p>
    <w:p>
      <w:pPr>
        <w:pStyle w:val="Normal"/>
        <w:rPr/>
      </w:pPr>
      <w:r>
        <w:rPr/>
        <w:t xml:space="preserve">State-level early-childhood policymakers and the advocacy staff who draft affordability bills and budget for subsidies. They are numerate but time-poor, already believe childcare is expensive, and need defensible, county-specific evidence they can drop into a hearing or a constituent letter. </w:t>
      </w:r>
      <w:r>
        <w:rPr/>
        <w:t>I</w:t>
      </w:r>
      <w:r>
        <w:rPr/>
        <w:t xml:space="preserve"> optimize for credibility and local specificity over persuading a skeptic from scratch.</w:t>
      </w:r>
    </w:p>
    <w:p>
      <w:pPr>
        <w:pStyle w:val="Heading2"/>
        <w:spacing w:before="200" w:after="80"/>
        <w:rPr/>
      </w:pPr>
      <w:r>
        <w:rPr/>
        <w:t>Mediums</w:t>
      </w:r>
    </w:p>
    <w:p>
      <w:pPr>
        <w:pStyle w:val="Normal"/>
        <w:spacing w:before="0" w:after="40"/>
        <w:rPr/>
      </w:pPr>
      <w:r>
        <w:rPr>
          <w:b/>
        </w:rPr>
        <w:t xml:space="preserve">1.  Printed one-page infographic: </w:t>
      </w:r>
      <w:r>
        <w:rPr/>
        <w:t>leads with the “16% versus 7%” affordability gap and the infant-over-preschool premium, sized to live in a briefing folder.</w:t>
      </w:r>
    </w:p>
    <w:p>
      <w:pPr>
        <w:pStyle w:val="Normal"/>
        <w:spacing w:before="0" w:after="40"/>
        <w:rPr/>
      </w:pPr>
      <w:r>
        <w:rPr>
          <w:b/>
        </w:rPr>
        <w:t xml:space="preserve">2.  </w:t>
      </w:r>
      <w:r>
        <w:rPr>
          <w:b/>
        </w:rPr>
        <w:t xml:space="preserve">Browser-based </w:t>
      </w:r>
      <w:r>
        <w:rPr>
          <w:b/>
        </w:rPr>
        <w:t xml:space="preserve">Interactive choropleth map: </w:t>
      </w:r>
      <w:r>
        <w:rPr/>
        <w:t>a user clicks their own county and sees its childcare burden, real-price trend, and rank within the state.</w:t>
      </w:r>
    </w:p>
    <w:p>
      <w:pPr>
        <w:pStyle w:val="Normal"/>
        <w:widowControl/>
        <w:bidi w:val="0"/>
        <w:spacing w:lineRule="auto" w:line="276" w:before="0" w:after="160"/>
        <w:jc w:val="start"/>
        <w:rPr/>
      </w:pPr>
      <w:r>
        <w:rPr>
          <w:b/>
        </w:rPr>
        <w:t xml:space="preserve">3.  Short written policy brief: </w:t>
      </w:r>
      <w:r>
        <w:rPr/>
        <w:t>op-ed length, walking a non-technical reader through the finding and naming the methodological caveats honestly.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6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B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B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LibreOffice/26.2.4.2$Linux_X86_64 LibreOffice_project/620$Build-2</Application>
  <AppVersion>15.0000</AppVersion>
  <Pages>2</Pages>
  <Words>566</Words>
  <Characters>3219</Characters>
  <CharactersWithSpaces>3768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2026-06-21T22:40:11Z</cp:lastPrinted>
  <dcterms:modified xsi:type="dcterms:W3CDTF">2026-06-21T22:42:26Z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