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b/>
          <w:color w:val="1F3B57"/>
          <w:sz w:val="40"/>
        </w:rPr>
        <w:t>The Second Rent</w:t>
      </w:r>
    </w:p>
    <w:p>
      <w:pPr>
        <w:pStyle w:val="Normal"/>
        <w:rPr/>
      </w:pPr>
      <w:r>
        <w:rPr>
          <w:i/>
          <w:color w:val="555555"/>
          <w:sz w:val="22"/>
        </w:rPr>
        <w:t>Project Summary &amp; Final Analysis: National Database of Childcare Prices</w:t>
      </w:r>
    </w:p>
    <w:p>
      <w:pPr>
        <w:pStyle w:val="Normal"/>
        <w:rPr>
          <w:color w:val="777777"/>
          <w:sz w:val="20"/>
        </w:rPr>
      </w:pPr>
      <w:r>
        <w:rPr>
          <w:color w:val="777777"/>
          <w:sz w:val="20"/>
        </w:rPr>
        <w:t>DSC 640 Term Project Milestone 4</w:t>
      </w:r>
    </w:p>
    <w:p>
      <w:pPr>
        <w:pStyle w:val="Normal"/>
        <w:rPr/>
      </w:pPr>
      <w:r>
        <w:rPr>
          <w:color w:val="777777"/>
          <w:sz w:val="20"/>
        </w:rPr>
        <w:t>David Jorgensen</w:t>
      </w:r>
    </w:p>
    <w:p>
      <w:pPr>
        <w:pStyle w:val="Normal"/>
        <w:rPr/>
      </w:pPr>
      <w:r>
        <w:rPr/>
      </w:r>
    </w:p>
    <w:p>
      <w:pPr>
        <w:pStyle w:val="Heading2"/>
        <w:spacing w:before="200" w:after="80"/>
        <w:rPr/>
      </w:pPr>
      <w:r>
        <w:rPr/>
        <w:t>Summary of Analysis</w:t>
      </w:r>
    </w:p>
    <w:p>
      <w:pPr>
        <w:pStyle w:val="Normal"/>
        <w:rPr/>
      </w:pPr>
      <w:r>
        <w:rPr/>
        <w:t>I analyzed the U.S. Department of Labor's National Database of Childcare Prices (NDCP): 34,567 county-year records covering all 3,144 U.S. counties from 2008 to 2018, across 227 fields spanning childcare prices, household income, unemployment, and female labor-force participation. Prices are full-time weekly rates, split by setting (center versus family childcare home) and by child age. I anchored the analysis on one ratio: annualized center-based infant care divided by median household income. That single ratio is what all three mediums are built on.</w:t>
      </w:r>
    </w:p>
    <w:p>
      <w:pPr>
        <w:pStyle w:val="Heading2"/>
        <w:spacing w:before="200" w:after="80"/>
        <w:rPr/>
      </w:pPr>
      <w:r>
        <w:rPr/>
        <w:t>Findings</w:t>
      </w:r>
    </w:p>
    <w:p>
      <w:pPr>
        <w:pStyle w:val="Normal"/>
        <w:rPr/>
      </w:pPr>
      <w:r>
        <w:rPr/>
        <w:t>One number organizes everything: the typical county spends 15.9% of its median household income on center-based infant care, against a federal affordability benchmark of 7%. Across 23,593 reporting county-years, 99.9% exceed that benchmark and 59.3% top 15%, and even the least-burdened quarter of counties spends 13.3%. Two premiums compound the squeeze: infant care runs about 18% above preschool, and a center costs about 26% more than a home-based provider, so the priciest option arrives when a family is youngest. A household paying for one infant and one preschooler at once spends 29.7% of median income in the typical county. Adjusted for inflation, infant prices still climbed 9.2% in real terms over the decade, and the median of the county distribution moved from 15.4% to 16.1%. Massachusetts (23.9%), California (22.2%), Alaska (21.9%), Hawaii (21.7%), and Vermont (21.2%) all clear 21% of income, while the “cheapest” states only look affordable because incomes there are low.</w:t>
      </w:r>
    </w:p>
    <w:p>
      <w:pPr>
        <w:pStyle w:val="Heading2"/>
        <w:spacing w:before="200" w:after="80"/>
        <w:rPr/>
      </w:pPr>
      <w:r>
        <w:rPr/>
        <w:t>Assumptions</w:t>
      </w:r>
    </w:p>
    <w:p>
      <w:pPr>
        <w:pStyle w:val="Normal"/>
        <w:rPr/>
      </w:pPr>
      <w:r>
        <w:rPr/>
        <w:t>I treat each county's published median price as representative, annualize weekly prices at ×52 (full-time, year-round), and use CPI-U to restate 2008 dollars in 2018 terms. I assume median household income is a fair denominator, even though families with infants skew younger and earn below the county median, which makes my burden figures conservative rather than alarmist.</w:t>
      </w:r>
    </w:p>
    <w:p>
      <w:pPr>
        <w:pStyle w:val="Heading2"/>
        <w:spacing w:before="200" w:after="80"/>
        <w:rPr/>
      </w:pPr>
      <w:r>
        <w:rPr/>
        <w:t>Items That Still Need Clarification</w:t>
      </w:r>
    </w:p>
    <w:p>
      <w:pPr>
        <w:pStyle w:val="Normal"/>
        <w:rPr/>
      </w:pPr>
      <w:r>
        <w:rPr/>
        <w:t>Three questions remain open: whether published prices are sticker rates or subsidized net costs, how the counties with suppressed prices differ from those that report, and whether “infant” age bands align across state licensing definitions. The suppression is substantial and I now state it precisely on every medium: about 32% of all county-years carry no published price, and in the 2018 cross-section only 2,360 of 3,142 counties reported one, roughly one county in four missing. I would confirm each state's collection methodology before presenting the ranking as a true ranking.</w:t>
      </w:r>
    </w:p>
    <w:p>
      <w:pPr>
        <w:pStyle w:val="Heading2"/>
        <w:spacing w:before="200" w:after="80"/>
        <w:rPr/>
      </w:pPr>
      <w:r>
        <w:rPr/>
        <w:t>Direction of the Story</w:t>
      </w:r>
    </w:p>
    <w:p>
      <w:pPr>
        <w:pStyle w:val="Normal"/>
        <w:rPr/>
      </w:pPr>
      <w:r>
        <w:rPr/>
        <w:t>The story is that childcare has become a second rent. I deliberately do not claim that childcare costs push mothers out of the workforce: that correlation is 0.096 and badly confounded by income, and the restraint is part of the piece's integrity. The message is narrower and sturdier: by the government's own standard, childcare is unaffordable almost everywhere, worst for infants, and over the decade it got worse.</w:t>
      </w:r>
    </w:p>
    <w:p>
      <w:pPr>
        <w:pStyle w:val="Heading2"/>
        <w:spacing w:before="200" w:after="80"/>
        <w:rPr/>
      </w:pPr>
      <w:r>
        <w:rPr/>
        <w:t>Target Audience</w:t>
      </w:r>
    </w:p>
    <w:p>
      <w:pPr>
        <w:pStyle w:val="Normal"/>
        <w:rPr/>
      </w:pPr>
      <w:r>
        <w:rPr/>
        <w:t>State-level early-childhood policymakers and the advocacy staff who draft affordability bills and budget for subsidies. They are numerate but time-poor, already believe childcare is expensive, and need defensible county-specific evidence for a hearing or a constituent letter.</w:t>
      </w:r>
    </w:p>
    <w:p>
      <w:pPr>
        <w:pStyle w:val="Heading2"/>
        <w:spacing w:before="200" w:after="80"/>
        <w:rPr/>
      </w:pPr>
      <w:r>
        <w:rPr/>
        <w:t>Mediums Included &amp; Why</w:t>
      </w:r>
    </w:p>
    <w:p>
      <w:pPr>
        <w:pStyle w:val="Normal"/>
        <w:numPr>
          <w:ilvl w:val="0"/>
          <w:numId w:val="7"/>
        </w:numPr>
        <w:spacing w:before="0" w:after="40"/>
        <w:rPr/>
      </w:pPr>
      <w:r>
        <w:rPr>
          <w:b/>
        </w:rPr>
        <w:t xml:space="preserve">Printed one-page infographic: </w:t>
      </w:r>
      <w:r>
        <w:rPr/>
        <w:t>leads with the 15.9%-versus-7% affordability gap and the compounding premiums, sized to live in a briefing folder and to survive a black-and-white copier. Its three figures are a bullet chart of the burden against the 7% target, a waffle chart showing 999 counties in 1,000 failing it, and a dumbbell chart of the age and setting premiums, chosen because each reads in a single pass and holds up in grayscale.</w:t>
      </w:r>
    </w:p>
    <w:p>
      <w:pPr>
        <w:pStyle w:val="Normal"/>
        <w:numPr>
          <w:ilvl w:val="0"/>
          <w:numId w:val="7"/>
        </w:numPr>
        <w:spacing w:before="0" w:after="40"/>
        <w:rPr/>
      </w:pPr>
      <w:r>
        <w:rPr>
          <w:b/>
        </w:rPr>
        <w:t xml:space="preserve">Interactive choropleth map: </w:t>
      </w:r>
      <w:r>
        <w:rPr>
          <w:b w:val="false"/>
          <w:bCs w:val="false"/>
        </w:rPr>
        <w:t>browser-based; a reader clicks their own county and sees its burden, its real-price trend, and its rank within the state, and can toggle between infant, toddler, and preschool. Local specificity is what this audience needs. Its three figures are the county choropleth, a three-line real-price trend that sets the county against its state and the nation, and a linked scatter of price against local income with iso-burden diagonals. It ships as a working self-contained HTML file and is documented in the print package as two frames, a map view and a compare view. The choropleth appears here and nowhere else in the package.</w:t>
      </w:r>
    </w:p>
    <w:p>
      <w:pPr>
        <w:pStyle w:val="Normal"/>
        <w:widowControl/>
        <w:numPr>
          <w:ilvl w:val="0"/>
          <w:numId w:val="7"/>
        </w:numPr>
        <w:bidi w:val="0"/>
        <w:spacing w:lineRule="auto" w:line="276" w:before="0" w:after="160"/>
        <w:jc w:val="start"/>
        <w:rPr/>
      </w:pPr>
      <w:r>
        <w:rPr>
          <w:b/>
        </w:rPr>
        <w:t xml:space="preserve">Short written policy brief: </w:t>
      </w:r>
      <w:r>
        <w:rPr/>
        <w:t>op-ed length, walking a non-technical reader through the finding and naming the methodological caveats honestly in their own panel. It runs two pages, and its three figures are a slope chart of price rank against burden rank, a ridgeline showing the burden distribution drifting year by year, and threshold lines counting the counties above 10, 15, and 20% of income.</w:t>
      </w:r>
    </w:p>
    <w:p>
      <w:pPr>
        <w:pStyle w:val="Normal"/>
        <w:rPr/>
      </w:pPr>
      <w:r>
        <w:rPr/>
        <w:t>The three mediums sit behind a one-page cover sheet that states the story, the audience, and the design system, so the package can be handed over as one object: a six-page PDF running cover, infographic, two map frames, and the two-page brief. Every figure in it is generated from the cleaned data by code/build_figures.py, and the mediums are rendered from HTML and CSS that share a single stylesheet.</w:t>
      </w:r>
    </w:p>
    <w:p>
      <w:pPr>
        <w:pStyle w:val="Heading2"/>
        <w:rPr/>
      </w:pPr>
      <w:r>
        <w:rPr/>
        <w:t>Design Decisions</w:t>
      </w:r>
    </w:p>
    <w:p>
      <w:pPr>
        <w:pStyle w:val="Normal"/>
        <w:rPr/>
      </w:pPr>
      <w:r>
        <w:rPr/>
        <w:t>All three mediums share one visual system so they read as a single package. Color is a six-step sequential teal ramp running from a near-white wash to a deep navy (#163a48), carrying magnitude on every map, bar, and ridge, with one reserved terracotta accent (#bf5a3f) for the 7% benchmark, the pinned county, and the section ticks. Because the ramp is sequential rather than categorical, the charts stay colorblind- and grayscale-safe, and the benchmark is always marked by position as well as by hue. The one deliberate exception is the slope chart, where terracotta and deep teal encode direction, separating states that look cheap but land harder from states that look costly but land softer, because that reversal is the whole point of the figure. Merriweather carries the headline numbers and titles; Source Sans 3 carries the body copy and every chart label. Sizing still follows importance, with one hero number per medium and the most area given to the map, because geography is where the reader finds themselves. What the mediums do not share is the figures themselves. Each has its own set of three, matched to how that medium is read: marks that survive a photocopier for print, marks that reward hovering and pinning on screen, and marks that can carry an argument inside a column of text. Nine figures in total, and none of them appears twice.</w:t>
      </w:r>
    </w:p>
    <w:p>
      <w:pPr>
        <w:pStyle w:val="Heading2"/>
        <w:rPr/>
      </w:pPr>
      <w:r>
        <w:rPr/>
        <w:t>Ethical Considerations</w:t>
      </w:r>
    </w:p>
    <w:p>
      <w:pPr>
        <w:pStyle w:val="Normal"/>
        <w:rPr/>
      </w:pPr>
      <w:r>
        <w:rPr/>
        <w:t>Changes to the data: no imputation. I dropped county-years missing the relevant price or income field, annualized weekly prices ×52, deflated to 2018 dollars with CPI-U, and computed the burden ratio. Price analyses run on 23,593 of 34,567 county-years.</w:t>
      </w:r>
    </w:p>
    <w:p>
      <w:pPr>
        <w:pStyle w:val="Normal"/>
        <w:rPr/>
      </w:pPr>
      <w:r>
        <w:rPr/>
        <w:t>Legal and regulatory guidelines: the NDCP is public federal data from the Department of Labor's Women's Bureau, aggregated to county level with no personally identifiable information, so no privacy regime such as HIPAA or FERPA applies. The Department already suppresses thin-sample cells, and I did not try to reconstruct them.</w:t>
      </w:r>
    </w:p>
    <w:p>
      <w:pPr>
        <w:pStyle w:val="Normal"/>
        <w:rPr/>
      </w:pPr>
      <w:r>
        <w:rPr/>
        <w:t>Risks from the transformations and the presentation: ×52 annualization overstates cost for part-year care. The ratio of median price to median income describes a county, not a household, and a reader can hear “the typical county spends 15.9%” as “the typical family spends 15.9%.” Blank counties could read as cheap rather than as not reported, and a state ranking invites the “cheapest state” misreading.</w:t>
      </w:r>
    </w:p>
    <w:p>
      <w:pPr>
        <w:pStyle w:val="Normal"/>
        <w:rPr/>
      </w:pPr>
      <w:r>
        <w:rPr/>
        <w:t>Filtering and labeling: the ~32% of county-years without published prices are excluded, and that exclusion is labeled in the infographic's stat row and footnote, the map legend, which carries an explicit “not reported” swatch rather than leaving blank counties unexplained, and the brief's caveats panel. Reporting counties skew more populous, and I state that rather than bury it.</w:t>
      </w:r>
    </w:p>
    <w:p>
      <w:pPr>
        <w:pStyle w:val="Normal"/>
        <w:rPr/>
      </w:pPr>
      <w:r>
        <w:rPr/>
        <w:t>Sourcing and acquisition: the data comes directly from the Women's Bureau public release, and field meanings were verified against the technical guide rather than inferred from column names. Acquisition is ethical by construction: public, aggregate, and collected from providers, not families.</w:t>
      </w:r>
    </w:p>
    <w:p>
      <w:pPr>
        <w:pStyle w:val="Normal"/>
        <w:rPr/>
      </w:pPr>
      <w:r>
        <w:rPr/>
        <w:t>Mitigation: state the denominator in plain language on every medium, keep “not reported” visually distinct from “low,” refuse the causal labor-force claim, and carry the methodology panel into every artifact.</w:t>
      </w:r>
    </w:p>
    <w:p>
      <w:pPr>
        <w:pStyle w:val="Heading2"/>
        <w:rPr/>
      </w:pPr>
      <w:r>
        <w:rPr/>
        <w:t>Lessons Learned</w:t>
      </w:r>
    </w:p>
    <w:p>
      <w:pPr>
        <w:pStyle w:val="Normal"/>
        <w:rPr/>
      </w:pPr>
      <w:r>
        <w:rPr/>
        <w:t>What I would do differently: build the visual system before the charts, and choose the charts per medium rather than per dataset. I made one-off EDA figures, rebuilt them against a shared palette and type scale, and then rebuilt them a second time once it was clear that one shared set of figures was serving all three mediums badly. A chart that rewards hovering is not the chart that survives a photocopier, and neither is the chart that carries an argument inside a column of text. Starting from the system, and from the question of how each medium is actually read, would have saved both passes. I would also settle the sticker versus net price question early, since it bounds how strongly the claims can be worded.</w:t>
      </w:r>
    </w:p>
    <w:p>
      <w:pPr>
        <w:pStyle w:val="Normal"/>
        <w:widowControl/>
        <w:suppressAutoHyphens w:val="true"/>
        <w:bidi w:val="0"/>
        <w:spacing w:lineRule="auto" w:line="276" w:before="0" w:after="160"/>
        <w:jc w:val="start"/>
        <w:rPr/>
      </w:pPr>
      <w:r>
        <w:rPr/>
        <w:t>What I enjoyed most: watching the argument get stronger by giving something up. Dropping the labor-force causal angle left a claim I can defend line by line, and the “cheap is not affordable” reversal in the state ranking was the moment the data became an argument.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3B57"/>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3B57"/>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LibreOffice/26.2.5.2$Linux_X86_64 LibreOffice_project/620$Build-2</Application>
  <AppVersion>15.0000</AppVersion>
  <Pages>3</Pages>
  <Words>996</Words>
  <Characters>5536</Characters>
  <CharactersWithSpaces>6497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2026-06-21T22:40:11Z</cp:lastPrinted>
  <dcterms:modified xsi:type="dcterms:W3CDTF">2026-08-02T15:45:24Z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