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color w:val="1F3B57"/>
          <w:sz w:val="40"/>
        </w:rPr>
        <w:t>The Second Rent</w:t>
      </w:r>
    </w:p>
    <w:p>
      <w:pPr>
        <w:pStyle w:val="Normal"/>
        <w:rPr/>
      </w:pPr>
      <w:r>
        <w:rPr>
          <w:i/>
          <w:color w:val="555555"/>
          <w:sz w:val="22"/>
        </w:rPr>
        <w:t>Project Summary &amp; Final Analysis: National Database of Childcare Prices</w:t>
      </w:r>
    </w:p>
    <w:p>
      <w:pPr>
        <w:pStyle w:val="Normal"/>
        <w:rPr>
          <w:color w:val="777777"/>
          <w:sz w:val="20"/>
        </w:rPr>
      </w:pPr>
      <w:r>
        <w:rPr>
          <w:color w:val="777777"/>
          <w:sz w:val="20"/>
        </w:rPr>
        <w:t>DSC 640 Term Project Milestone 4</w:t>
      </w:r>
    </w:p>
    <w:p>
      <w:pPr>
        <w:pStyle w:val="Normal"/>
        <w:rPr/>
      </w:pPr>
      <w:r>
        <w:rPr>
          <w:color w:val="777777"/>
          <w:sz w:val="20"/>
        </w:rPr>
        <w:t>David Jorgensen</w:t>
      </w:r>
    </w:p>
    <w:p>
      <w:pPr>
        <w:pStyle w:val="Normal"/>
        <w:rPr/>
      </w:pPr>
      <w:r>
        <w:rPr/>
      </w:r>
    </w:p>
    <w:p>
      <w:pPr>
        <w:pStyle w:val="Heading2"/>
        <w:spacing w:before="200" w:after="80"/>
        <w:rPr/>
      </w:pPr>
      <w:r>
        <w:rPr/>
        <w:t>Summary of Analysis</w:t>
      </w:r>
    </w:p>
    <w:p>
      <w:pPr>
        <w:pStyle w:val="Normal"/>
        <w:rPr/>
      </w:pPr>
      <w:r>
        <w:rPr/>
        <w:t>I analyzed the U.S. Department of Labor's National Database of Childcare Prices: 34,567 county-year records covering all 3,144 U.S. counties from 2008 to 2018, across 227 fields spanning childcare prices, household income, unemployment, and female labor-force participation. Prices are full-time weekly rates, split by setting (center versus family childcare home) and by child age. I anchored the analysis on one ratio: annualized center-based infant care divided by median household income. That ratio carried into all three mediums.</w:t>
      </w:r>
    </w:p>
    <w:p>
      <w:pPr>
        <w:pStyle w:val="Heading2"/>
        <w:spacing w:before="200" w:after="80"/>
        <w:rPr/>
      </w:pPr>
      <w:r>
        <w:rPr/>
        <w:t>Findings</w:t>
      </w:r>
    </w:p>
    <w:p>
      <w:pPr>
        <w:pStyle w:val="Normal"/>
        <w:rPr/>
      </w:pPr>
      <w:r>
        <w:rPr/>
        <w:t>One number organizes everything: the typical county spends 15.9% of its median household income on center-based infant care, against a federal affordability benchmark of 7%. Across 23,593 reporting county-years, 99.9% exceed that benchmark and 59.3% top 15%. Two premiums compound the squeeze: infant care runs about 18% above preschool, and a center costs about 26% more than a home-based provider, so the priciest option arrives when a family is youngest. Adjusted for inflation, infant prices still climbed 9.2% in real terms over the decade. Massachusetts (23.9%), California (22.2%), Alaska, Hawaii, and Vermont all clear 21% of income, while the “cheapest” states only look affordable because incomes there are low.</w:t>
      </w:r>
    </w:p>
    <w:p>
      <w:pPr>
        <w:pStyle w:val="Heading2"/>
        <w:spacing w:before="200" w:after="80"/>
        <w:rPr/>
      </w:pPr>
      <w:r>
        <w:rPr/>
        <w:t>Assumptions</w:t>
      </w:r>
    </w:p>
    <w:p>
      <w:pPr>
        <w:pStyle w:val="Normal"/>
        <w:rPr/>
      </w:pPr>
      <w:r>
        <w:rPr/>
        <w:t>I treat each county's published median price as representative, annualize weekly prices at ×52 (full-time, year-round), and use CPI-U to restate 2008 dollars in 2018 terms. I assume median household income is a fair denominator, even though families with infants skew younger and earn below the county median, which makes my burden figures conservative rather than alarmist.</w:t>
      </w:r>
    </w:p>
    <w:p>
      <w:pPr>
        <w:pStyle w:val="Heading2"/>
        <w:spacing w:before="200" w:after="80"/>
        <w:rPr/>
      </w:pPr>
      <w:r>
        <w:rPr/>
        <w:t>Items That Still Need Clarification</w:t>
      </w:r>
    </w:p>
    <w:p>
      <w:pPr>
        <w:pStyle w:val="Normal"/>
        <w:rPr/>
      </w:pPr>
      <w:r>
        <w:rPr/>
        <w:t>Whether published prices are sticker rates or subsidized net costs; how the one-third of counties with suppressed prices differ from those that report; and whether “infant” age bands align across state licensing definitions. I would confirm each state's collection methodology before presenting the ranking as a true ranking.</w:t>
      </w:r>
    </w:p>
    <w:p>
      <w:pPr>
        <w:pStyle w:val="Heading2"/>
        <w:spacing w:before="200" w:after="80"/>
        <w:rPr/>
      </w:pPr>
      <w:r>
        <w:rPr/>
        <w:t>Direction of the Story</w:t>
      </w:r>
    </w:p>
    <w:p>
      <w:pPr>
        <w:pStyle w:val="Normal"/>
        <w:rPr/>
      </w:pPr>
      <w:r>
        <w:rPr/>
        <w:t>The story is that childcare has become a second rent. I deliberately do not claim that childcare costs push mothers out of the workforce: that correlation is 0.096 and badly confounded by income, and the restraint is part of the piece's integrity. The message is narrower and sturdier: by the government's own standard, childcare is unaffordable almost everywhere, worst for infants, and over the decade it got worse.</w:t>
      </w:r>
    </w:p>
    <w:p>
      <w:pPr>
        <w:pStyle w:val="Heading2"/>
        <w:spacing w:before="200" w:after="80"/>
        <w:rPr/>
      </w:pPr>
      <w:r>
        <w:rPr/>
        <w:t>Target Audience</w:t>
      </w:r>
    </w:p>
    <w:p>
      <w:pPr>
        <w:pStyle w:val="Normal"/>
        <w:rPr/>
      </w:pPr>
      <w:r>
        <w:rPr/>
        <w:t>State-level early-childhood policymakers and the advocacy staff who draft affordability bills and budget for subsidies. They are numerate but time-poor, already believe childcare is expensive, and need defensible county-specific evidence for a hearing or a constituent letter.</w:t>
      </w:r>
    </w:p>
    <w:p>
      <w:pPr>
        <w:pStyle w:val="Heading2"/>
        <w:spacing w:before="200" w:after="80"/>
        <w:rPr/>
      </w:pPr>
      <w:r>
        <w:rPr/>
        <w:t>Mediums Included &amp; Why</w:t>
      </w:r>
    </w:p>
    <w:p>
      <w:pPr>
        <w:pStyle w:val="Normal"/>
        <w:numPr>
          <w:ilvl w:val="0"/>
          <w:numId w:val="7"/>
        </w:numPr>
        <w:spacing w:before="0" w:after="40"/>
        <w:rPr/>
      </w:pPr>
      <w:r>
        <w:rPr>
          <w:b/>
        </w:rPr>
        <w:t xml:space="preserve">Printed one-page infographic: </w:t>
      </w:r>
      <w:r>
        <w:rPr/>
        <w:t>leads with the 15.9%-versus-7% affordability gap and the compounding premiums, sized to live in a briefing folder and to survive a black-and-white copier.</w:t>
      </w:r>
    </w:p>
    <w:p>
      <w:pPr>
        <w:pStyle w:val="Normal"/>
        <w:numPr>
          <w:ilvl w:val="0"/>
          <w:numId w:val="7"/>
        </w:numPr>
        <w:spacing w:before="0" w:after="40"/>
        <w:rPr/>
      </w:pPr>
      <w:r>
        <w:rPr>
          <w:b/>
        </w:rPr>
        <w:t xml:space="preserve">Interactive choropleth map: </w:t>
      </w:r>
      <w:r>
        <w:rPr>
          <w:b w:val="false"/>
          <w:bCs w:val="false"/>
        </w:rPr>
        <w:t>browser-based; a reader clicks their own county and sees its burden, real-price trend, and rank within the state. Local specificity is what this audience needs.</w:t>
      </w:r>
    </w:p>
    <w:p>
      <w:pPr>
        <w:pStyle w:val="Normal"/>
        <w:widowControl/>
        <w:numPr>
          <w:ilvl w:val="0"/>
          <w:numId w:val="7"/>
        </w:numPr>
        <w:bidi w:val="0"/>
        <w:spacing w:lineRule="auto" w:line="276" w:before="0" w:after="160"/>
        <w:jc w:val="start"/>
        <w:rPr/>
      </w:pPr>
      <w:r>
        <w:rPr>
          <w:b/>
        </w:rPr>
        <w:t xml:space="preserve">Short written policy brief: </w:t>
      </w:r>
      <w:r>
        <w:rPr/>
        <w:t>op-ed length, walking a non-technical reader through the finding and naming the methodological caveats honestly in their own panel.</w:t>
      </w:r>
    </w:p>
    <w:p>
      <w:pPr>
        <w:pStyle w:val="Heading2"/>
        <w:rPr/>
      </w:pPr>
      <w:r>
        <w:rPr/>
        <w:t>Design Decisions</w:t>
      </w:r>
    </w:p>
    <w:p>
      <w:pPr>
        <w:pStyle w:val="Normal"/>
        <w:rPr/>
      </w:pPr>
      <w:r>
        <w:rPr/>
        <w:t>All three mediums share one visual system so they read as a single package. Color is a single sequential teal ramp carrying magnitude on every map and bar, with one reserved terracotta accent used only for the 7% benchmark, the highlighted county, and section ticks. Because color is sequential and never categorical, the charts stay colorblind- and grayscale-safe, and the benchmark is marked by position as well as hue. A serif carries headline numbers, a neutral sans the body. Sizing follows importance: one hero number per medium, three stat cards, and the most area to the map, because geography is where the reader finds themselves.</w:t>
      </w:r>
    </w:p>
    <w:p>
      <w:pPr>
        <w:pStyle w:val="Heading2"/>
        <w:rPr/>
      </w:pPr>
      <w:r>
        <w:rPr/>
        <w:t>Ethical Considerations</w:t>
      </w:r>
    </w:p>
    <w:p>
      <w:pPr>
        <w:pStyle w:val="Normal"/>
        <w:rPr/>
      </w:pPr>
      <w:r>
        <w:rPr/>
        <w:t>Changes to the data: no imputation. I dropped county-years missing the relevant price or income field, annualized weekly prices ×52, deflated to 2018 dollars with CPI-U, and computed the burden ratio. Price analyses run on 23,593 of 34,567 county-years.</w:t>
      </w:r>
    </w:p>
    <w:p>
      <w:pPr>
        <w:pStyle w:val="Normal"/>
        <w:rPr/>
      </w:pPr>
      <w:r>
        <w:rPr/>
        <w:t>Legal and regulatory guidelines: the NDCP is public federal data from the DOL Women's Bureau, aggregated to county level with no personally identifiable information, so no privacy regime such as HIPAA or FERPA applies. DOL already suppresses thin-sample cells, and I did not try to reconstruct them.</w:t>
      </w:r>
    </w:p>
    <w:p>
      <w:pPr>
        <w:pStyle w:val="Normal"/>
        <w:rPr/>
      </w:pPr>
      <w:r>
        <w:rPr/>
        <w:t xml:space="preserve">Risks from the transformations and the presentation: ×52 annualization overstates cost for part-year care. </w:t>
      </w:r>
      <w:r>
        <w:rPr/>
        <w:t>M</w:t>
      </w:r>
      <w:r>
        <w:rPr/>
        <w:t>edian price over median income ratio describes a county, not a household, and a reader can hear “the typical county spends 15.9%” as “the typical family spends 15.9%.” Blank counties could read as cheap rather than not reported, and a state ranking invites the “cheapest state” misreading.</w:t>
      </w:r>
    </w:p>
    <w:p>
      <w:pPr>
        <w:pStyle w:val="Normal"/>
        <w:rPr/>
      </w:pPr>
      <w:r>
        <w:rPr/>
        <w:t xml:space="preserve">Filtering and labeling: the ~32% of county-years without published prices are excluded, and that exclusion is labeled </w:t>
      </w:r>
      <w:r>
        <w:rPr/>
        <w:t xml:space="preserve">in </w:t>
      </w:r>
      <w:r>
        <w:rPr/>
        <w:t>the infographic footnote, the map legend (“blank counties suppressed their prices”), and the brief's caveats panel. Reporting counties skew more populous, and I state that rather than bury it.</w:t>
      </w:r>
    </w:p>
    <w:p>
      <w:pPr>
        <w:pStyle w:val="Normal"/>
        <w:rPr/>
      </w:pPr>
      <w:r>
        <w:rPr/>
        <w:t>Sourcing and acquisition: the data comes directly from the Women's Bureau public release, and field meanings were verified against the technical guide rather than inferred from column names. Acquisition is ethical by construction: public, aggregate, and collected from providers, not families.</w:t>
      </w:r>
    </w:p>
    <w:p>
      <w:pPr>
        <w:pStyle w:val="Normal"/>
        <w:rPr/>
      </w:pPr>
      <w:r>
        <w:rPr/>
        <w:t>Mitigation: state the denominator in plain language on every medium, keep “not reported” visually distinct from “low,” refuse the causal labor-force claim, and carry the methodology panel into every artifact.</w:t>
      </w:r>
    </w:p>
    <w:p>
      <w:pPr>
        <w:pStyle w:val="Heading2"/>
        <w:rPr/>
      </w:pPr>
      <w:r>
        <w:rPr/>
        <w:t>Lessons Learned</w:t>
      </w:r>
    </w:p>
    <w:p>
      <w:pPr>
        <w:pStyle w:val="Normal"/>
        <w:rPr/>
      </w:pPr>
      <w:r>
        <w:rPr/>
        <w:t xml:space="preserve">What I would do differently: build the visual system before the charts. I made one-off EDA figures and then rebuilt them against a shared palette and type scale; starting from the system would have saved that pass. I would also settle the sticker </w:t>
      </w:r>
      <w:r>
        <w:rPr/>
        <w:t xml:space="preserve">vs. </w:t>
      </w:r>
      <w:r>
        <w:rPr/>
        <w:t>net price question early, since it bounds how strongly claims can be worded.</w:t>
      </w:r>
    </w:p>
    <w:p>
      <w:pPr>
        <w:pStyle w:val="Normal"/>
        <w:widowControl/>
        <w:suppressAutoHyphens w:val="true"/>
        <w:bidi w:val="0"/>
        <w:spacing w:lineRule="auto" w:line="276" w:before="0" w:after="160"/>
        <w:jc w:val="start"/>
        <w:rPr/>
      </w:pPr>
      <w:r>
        <w:rPr/>
        <w:t>What I enjoyed most: watching the argument get stronger by giving something up. Dropping the labor-force causal angle left a claim I can defend line by line, and the “cheap is not affordable” reversal in the state ranking was the moment the data became an argument.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3B57"/>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3B57"/>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LibreOffice/26.2.5.2$Linux_X86_64 LibreOffice_project/620$Build-2</Application>
  <AppVersion>15.0000</AppVersion>
  <Pages>3</Pages>
  <Words>996</Words>
  <Characters>5536</Characters>
  <CharactersWithSpaces>6497</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2026-06-21T22:40:11Z</cp:lastPrinted>
  <dcterms:modified xsi:type="dcterms:W3CDTF">2026-08-02T15:45:24Z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