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2666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https://www.goodmantheatre.org/show/2666-2/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widowControl w:val="0"/>
        <w:spacing w:after="240" w:lineRule="auto"/>
        <w:rPr>
          <w:b w:val="1"/>
          <w:bCs w:val="1"/>
        </w:rPr>
      </w:pPr>
      <w:r w:rsidDel="00000000" w:rsidR="00000000" w:rsidRPr="00000000">
        <w:rPr>
          <w:b w:val="1"/>
          <w:bCs w:val="1"/>
          <w:rtl w:val="0"/>
        </w:rPr>
        <w:t xml:space="preserve">Feb 6 – Mar 20, 2016</w:t>
      </w:r>
      <w:r w:rsidDel="00000000" w:rsidR="00000000" w:rsidRPr="00000000">
        <w:rPr>
          <w:rtl w:val="0"/>
        </w:rPr>
        <w:t xml:space="preserve"> in Goodman's </w:t>
      </w:r>
      <w:r w:rsidDel="00000000" w:rsidR="00000000" w:rsidRPr="00000000">
        <w:rPr>
          <w:b w:val="1"/>
          <w:bCs w:val="1"/>
          <w:rtl w:val="0"/>
        </w:rPr>
        <w:t xml:space="preserve">Owen Theatre</w:t>
      </w:r>
    </w:p>
    <w:p w:rsidR="00000000" w:rsidDel="00000000" w:rsidP="00000000" w:rsidRDefault="00000000" w:rsidRPr="00000000" w14:paraId="00000008">
      <w:pPr>
        <w:widowControl w:val="0"/>
        <w:spacing w:after="240" w:before="240" w:lineRule="auto"/>
        <w:rPr/>
      </w:pPr>
      <w:r w:rsidDel="00000000" w:rsidR="00000000" w:rsidRPr="00000000">
        <w:rPr>
          <w:rtl w:val="0"/>
        </w:rPr>
        <w:t xml:space="preserve">Five and a half hours total (Four hours and 45 minutes plus three intermissions)</w:t>
      </w:r>
    </w:p>
    <w:p w:rsidR="00000000" w:rsidDel="00000000" w:rsidP="00000000" w:rsidRDefault="00000000" w:rsidRPr="00000000" w14:paraId="00000009">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widowControl w:val="0"/>
        <w:spacing w:after="240" w:before="240" w:lineRule="auto"/>
        <w:rPr>
          <w:b w:val="1"/>
          <w:bCs w:val="1"/>
        </w:rPr>
      </w:pPr>
      <w:r w:rsidDel="00000000" w:rsidR="00000000" w:rsidRPr="00000000">
        <w:rPr>
          <w:b w:val="1"/>
          <w:bCs w:val="1"/>
          <w:rtl w:val="0"/>
        </w:rPr>
        <w:t xml:space="preserve">This epic adaptation of Roberto Bolaño’s internationally acclaimed novel, named the “Best Book of 2008” by </w:t>
      </w:r>
      <w:r w:rsidDel="00000000" w:rsidR="00000000" w:rsidRPr="00000000">
        <w:rPr>
          <w:b w:val="1"/>
          <w:bCs w:val="1"/>
          <w:i w:val="1"/>
          <w:iCs w:val="1"/>
          <w:rtl w:val="0"/>
        </w:rPr>
        <w:t xml:space="preserve">Time</w:t>
      </w:r>
      <w:r w:rsidDel="00000000" w:rsidR="00000000" w:rsidRPr="00000000">
        <w:rPr>
          <w:b w:val="1"/>
          <w:bCs w:val="1"/>
          <w:rtl w:val="0"/>
        </w:rPr>
        <w:t xml:space="preserve"> magazine and winner of the National Book Critics Circle Award, is a not-to-be-missed theatrical event.</w:t>
      </w:r>
    </w:p>
    <w:p w:rsidR="00000000" w:rsidDel="00000000" w:rsidP="00000000" w:rsidRDefault="00000000" w:rsidRPr="00000000" w14:paraId="0000000B">
      <w:pPr>
        <w:widowControl w:val="0"/>
        <w:spacing w:after="240" w:before="240" w:lineRule="auto"/>
        <w:rPr/>
      </w:pPr>
      <w:r w:rsidDel="00000000" w:rsidR="00000000" w:rsidRPr="00000000">
        <w:rPr>
          <w:rtl w:val="0"/>
        </w:rPr>
        <w:t xml:space="preserve">A soaring adaptation of Chilean-born author Roberto Bolaño’s masterpiece, </w:t>
      </w:r>
      <w:r w:rsidDel="00000000" w:rsidR="00000000" w:rsidRPr="00000000">
        <w:rPr>
          <w:i w:val="1"/>
          <w:iCs w:val="1"/>
          <w:rtl w:val="0"/>
        </w:rPr>
        <w:t xml:space="preserve">2666</w:t>
      </w:r>
      <w:r w:rsidDel="00000000" w:rsidR="00000000" w:rsidRPr="00000000">
        <w:rPr>
          <w:rtl w:val="0"/>
        </w:rPr>
        <w:t xml:space="preserve"> begins with a group of hapless European academics hot on the trail of an elusive author—a search that leads them into the dark heart of a Mexican border city where the murders of hundreds of women remain unsolved. This story gives way to a surprising, panoramic portrait of the 20th century that spans more than 100 years and jumps from Spain to Mexico to Germany and beyond, illuminating the power of literature to reflect and transform the world. An unflinching look at the nature of evil, </w:t>
      </w:r>
      <w:r w:rsidDel="00000000" w:rsidR="00000000" w:rsidRPr="00000000">
        <w:rPr>
          <w:i w:val="1"/>
          <w:iCs w:val="1"/>
          <w:rtl w:val="0"/>
        </w:rPr>
        <w:t xml:space="preserve">2666</w:t>
      </w:r>
      <w:r w:rsidDel="00000000" w:rsidR="00000000" w:rsidRPr="00000000">
        <w:rPr>
          <w:rtl w:val="0"/>
        </w:rPr>
        <w:t xml:space="preserve"> is an ambitious new work unlike any other theatrical experience.</w:t>
      </w:r>
    </w:p>
    <w:p w:rsidR="00000000" w:rsidDel="00000000" w:rsidP="00000000" w:rsidRDefault="00000000" w:rsidRPr="00000000" w14:paraId="0000000C">
      <w:pPr>
        <w:widowControl w:val="0"/>
        <w:spacing w:after="240" w:before="240" w:lineRule="auto"/>
        <w:rPr>
          <w:i w:val="1"/>
          <w:iCs w:val="1"/>
        </w:rPr>
      </w:pPr>
      <w:r w:rsidDel="00000000" w:rsidR="00000000" w:rsidRPr="00000000">
        <w:rPr>
          <w:i w:val="1"/>
          <w:iCs w:val="1"/>
          <w:rtl w:val="0"/>
        </w:rPr>
        <w:t xml:space="preserve">2666 contains adult language and descriptions of extreme sexual violence. It is recommended for mature audiences only.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7">
        <w:r w:rsidDel="00000000" w:rsidR="00000000" w:rsidRPr="00000000">
          <w:rPr>
            <w:color w:val="1155cc"/>
            <w:u w:val="single"/>
            <w:rtl w:val="0"/>
          </w:rPr>
          <w:t xml:space="preserve">https://www.goodmantheatre.org/press-rooms/2666-2/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widowControl w:val="0"/>
        <w:spacing w:after="240" w:lineRule="auto"/>
        <w:rPr>
          <w:b w:val="1"/>
          <w:bCs w:val="1"/>
        </w:rPr>
      </w:pPr>
      <w:r w:rsidDel="00000000" w:rsidR="00000000" w:rsidRPr="00000000">
        <w:rPr>
          <w:b w:val="1"/>
          <w:bCs w:val="1"/>
          <w:i w:val="1"/>
          <w:iCs w:val="1"/>
          <w:rtl w:val="0"/>
        </w:rPr>
        <w:t xml:space="preserve">2666</w:t>
        <w:br w:type="textWrapping"/>
      </w:r>
      <w:r w:rsidDel="00000000" w:rsidR="00000000" w:rsidRPr="00000000">
        <w:rPr>
          <w:b w:val="1"/>
          <w:bCs w:val="1"/>
          <w:rtl w:val="0"/>
        </w:rPr>
        <w:t xml:space="preserve">Based on the book by Robero Bolaño</w:t>
        <w:br w:type="textWrapping"/>
        <w:t xml:space="preserve">Adapted and directed by Robert Falls and Seth Bockley</w:t>
        <w:br w:type="textWrapping"/>
        <w:t xml:space="preserve">February 6 – March 13, 2016, in the Owen Theater</w:t>
        <w:br w:type="textWrapping"/>
        <w:t xml:space="preserve">A World Premiere Special Event</w:t>
      </w:r>
    </w:p>
    <w:p w:rsidR="00000000" w:rsidDel="00000000" w:rsidP="00000000" w:rsidRDefault="00000000" w:rsidRPr="00000000" w14:paraId="00000011">
      <w:pPr>
        <w:widowControl w:val="0"/>
        <w:spacing w:after="240" w:before="240" w:lineRule="auto"/>
        <w:rPr/>
      </w:pPr>
      <w:r w:rsidDel="00000000" w:rsidR="00000000" w:rsidRPr="00000000">
        <w:rPr>
          <w:rtl w:val="0"/>
        </w:rPr>
        <w:t xml:space="preserve">Goodman Theatre’s Tony Award-winning Artistic Director </w:t>
      </w:r>
      <w:r w:rsidDel="00000000" w:rsidR="00000000" w:rsidRPr="00000000">
        <w:rPr>
          <w:b w:val="1"/>
          <w:bCs w:val="1"/>
          <w:rtl w:val="0"/>
        </w:rPr>
        <w:t xml:space="preserve">Robert Falls</w:t>
      </w:r>
      <w:r w:rsidDel="00000000" w:rsidR="00000000" w:rsidRPr="00000000">
        <w:rPr>
          <w:rtl w:val="0"/>
        </w:rPr>
        <w:t xml:space="preserve"> and Playwright-in-Residence </w:t>
      </w:r>
      <w:r w:rsidDel="00000000" w:rsidR="00000000" w:rsidRPr="00000000">
        <w:rPr>
          <w:b w:val="1"/>
          <w:bCs w:val="1"/>
          <w:rtl w:val="0"/>
        </w:rPr>
        <w:t xml:space="preserve">Seth Bockley</w:t>
      </w:r>
      <w:r w:rsidDel="00000000" w:rsidR="00000000" w:rsidRPr="00000000">
        <w:rPr>
          <w:rtl w:val="0"/>
        </w:rPr>
        <w:t xml:space="preserve"> have newly adapted </w:t>
      </w:r>
      <w:r w:rsidDel="00000000" w:rsidR="00000000" w:rsidRPr="00000000">
        <w:rPr>
          <w:i w:val="1"/>
          <w:iCs w:val="1"/>
          <w:rtl w:val="0"/>
        </w:rPr>
        <w:t xml:space="preserve">2666</w:t>
      </w:r>
      <w:r w:rsidDel="00000000" w:rsidR="00000000" w:rsidRPr="00000000">
        <w:rPr>
          <w:rtl w:val="0"/>
        </w:rPr>
        <w:t xml:space="preserve">—Chilean author/poet </w:t>
      </w:r>
      <w:r w:rsidDel="00000000" w:rsidR="00000000" w:rsidRPr="00000000">
        <w:rPr>
          <w:b w:val="1"/>
          <w:bCs w:val="1"/>
          <w:rtl w:val="0"/>
        </w:rPr>
        <w:t xml:space="preserve">Roberto Bolaño’</w:t>
      </w:r>
      <w:r w:rsidDel="00000000" w:rsidR="00000000" w:rsidRPr="00000000">
        <w:rPr>
          <w:rtl w:val="0"/>
        </w:rPr>
        <w:t xml:space="preserve">s internationally celebrated literary masterpiece—for the stage. An epic global portrait of the modern world and the artist’s role within it, </w:t>
      </w:r>
      <w:r w:rsidDel="00000000" w:rsidR="00000000" w:rsidRPr="00000000">
        <w:rPr>
          <w:i w:val="1"/>
          <w:iCs w:val="1"/>
          <w:rtl w:val="0"/>
        </w:rPr>
        <w:t xml:space="preserve">2666</w:t>
      </w:r>
      <w:r w:rsidDel="00000000" w:rsidR="00000000" w:rsidRPr="00000000">
        <w:rPr>
          <w:rtl w:val="0"/>
        </w:rPr>
        <w:t xml:space="preserve"> begins with four European academics hot on the trail of an elusive author, leading them into the dark heart of a Mexican border city where the murders of hundreds of women remain unsolved. This story gives way to a panoramic portrait of the 20th century that jumps from Spain to Germany and beyond. An all-Chicago ensemble cast of 15 actors portrays nearly 80 roles throughout the five-part multi-media production, which features video and projections and underscoring and original music. Bolaño was posthumously awarded the 2008 National Book Critics Circle Award for </w:t>
      </w:r>
      <w:r w:rsidDel="00000000" w:rsidR="00000000" w:rsidRPr="00000000">
        <w:rPr>
          <w:i w:val="1"/>
          <w:iCs w:val="1"/>
          <w:rtl w:val="0"/>
        </w:rPr>
        <w:t xml:space="preserve">2666</w:t>
      </w:r>
      <w:r w:rsidDel="00000000" w:rsidR="00000000" w:rsidRPr="00000000">
        <w:rPr>
          <w:rtl w:val="0"/>
        </w:rPr>
        <w:t xml:space="preserve">, “as bravura a display of novelistic mastery, and as devastating a reading experience, as you are likely ever to encounter” (</w:t>
      </w:r>
      <w:r w:rsidDel="00000000" w:rsidR="00000000" w:rsidRPr="00000000">
        <w:rPr>
          <w:i w:val="1"/>
          <w:iCs w:val="1"/>
          <w:rtl w:val="0"/>
        </w:rPr>
        <w:t xml:space="preserve">Time</w:t>
      </w:r>
      <w:r w:rsidDel="00000000" w:rsidR="00000000" w:rsidRPr="00000000">
        <w:rPr>
          <w:rtl w:val="0"/>
        </w:rPr>
        <w:t xml:space="preserve">); the book is widely considered the culmination of a body of work that includes nine novels, two story collections and five books of poetry. </w:t>
      </w:r>
      <w:r w:rsidDel="00000000" w:rsidR="00000000" w:rsidRPr="00000000">
        <w:rPr>
          <w:i w:val="1"/>
          <w:iCs w:val="1"/>
          <w:rtl w:val="0"/>
        </w:rPr>
        <w:t xml:space="preserve">2666</w:t>
      </w:r>
      <w:r w:rsidDel="00000000" w:rsidR="00000000" w:rsidRPr="00000000">
        <w:rPr>
          <w:rtl w:val="0"/>
        </w:rPr>
        <w:t xml:space="preserve"> is made possible by a generous grant from The Roy Cockrum Foundation. </w:t>
      </w:r>
    </w:p>
    <w:p w:rsidR="00000000" w:rsidDel="00000000" w:rsidP="00000000" w:rsidRDefault="00000000" w:rsidRPr="00000000" w14:paraId="00000012">
      <w:pPr>
        <w:widowControl w:val="0"/>
        <w:rPr/>
      </w:pPr>
      <w:r w:rsidDel="00000000" w:rsidR="00000000" w:rsidRPr="00000000">
        <w:rPr>
          <w:rtl w:val="0"/>
        </w:rPr>
      </w:r>
    </w:p>
    <w:tbl>
      <w:tblPr>
        <w:tblStyle w:val="Table1"/>
        <w:tblW w:w="9275.0" w:type="dxa"/>
        <w:jc w:val="left"/>
        <w:tblLayout w:type="fixed"/>
        <w:tblLook w:val="0600"/>
      </w:tblPr>
      <w:tblGrid>
        <w:gridCol w:w="9275"/>
        <w:tblGridChange w:id="0">
          <w:tblGrid>
            <w:gridCol w:w="9275"/>
          </w:tblGrid>
        </w:tblGridChange>
      </w:tblGrid>
      <w:tr>
        <w:trPr>
          <w:cantSplit w:val="0"/>
          <w:trHeight w:val="60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lineRule="auto"/>
              <w:rPr/>
            </w:pPr>
            <w:r w:rsidDel="00000000" w:rsidR="00000000" w:rsidRPr="00000000">
              <w:rPr>
                <w:rtl w:val="0"/>
              </w:rPr>
              <w:t xml:space="preserve">Seth Bockley</w:t>
            </w:r>
          </w:p>
          <w:p w:rsidR="00000000" w:rsidDel="00000000" w:rsidP="00000000" w:rsidRDefault="00000000" w:rsidRPr="00000000" w14:paraId="00000014">
            <w:pPr>
              <w:widowControl w:val="0"/>
              <w:spacing w:after="240" w:before="240" w:lineRule="auto"/>
              <w:rPr/>
            </w:pPr>
            <w:r w:rsidDel="00000000" w:rsidR="00000000" w:rsidRPr="00000000">
              <w:rPr>
                <w:b w:val="1"/>
                <w:bCs w:val="1"/>
                <w:rtl w:val="0"/>
              </w:rPr>
              <w:t xml:space="preserve">Seth Bockley</w:t>
            </w:r>
            <w:r w:rsidDel="00000000" w:rsidR="00000000" w:rsidRPr="00000000">
              <w:rPr>
                <w:rtl w:val="0"/>
              </w:rPr>
              <w:t xml:space="preserve"> (</w:t>
            </w:r>
            <w:r w:rsidDel="00000000" w:rsidR="00000000" w:rsidRPr="00000000">
              <w:rPr>
                <w:i w:val="1"/>
                <w:iCs w:val="1"/>
                <w:rtl w:val="0"/>
              </w:rPr>
              <w:t xml:space="preserve">Co-Adapter/Co-Director</w:t>
            </w:r>
            <w:r w:rsidDel="00000000" w:rsidR="00000000" w:rsidRPr="00000000">
              <w:rPr>
                <w:rtl w:val="0"/>
              </w:rPr>
              <w:t xml:space="preserve">) is a Chicago-based playwright and director and the Playwright-in-Residence at the Goodman. His plays include </w:t>
            </w:r>
            <w:r w:rsidDel="00000000" w:rsidR="00000000" w:rsidRPr="00000000">
              <w:rPr>
                <w:i w:val="1"/>
                <w:iCs w:val="1"/>
                <w:rtl w:val="0"/>
              </w:rPr>
              <w:t xml:space="preserve">Ask Aunt Susan</w:t>
            </w:r>
            <w:r w:rsidDel="00000000" w:rsidR="00000000" w:rsidRPr="00000000">
              <w:rPr>
                <w:rtl w:val="0"/>
              </w:rPr>
              <w:t xml:space="preserve">, which held its world premiere at the Goodman in 2014; </w:t>
            </w:r>
            <w:r w:rsidDel="00000000" w:rsidR="00000000" w:rsidRPr="00000000">
              <w:rPr>
                <w:i w:val="1"/>
                <w:iCs w:val="1"/>
                <w:rtl w:val="0"/>
              </w:rPr>
              <w:t xml:space="preserve">February House</w:t>
            </w:r>
            <w:r w:rsidDel="00000000" w:rsidR="00000000" w:rsidRPr="00000000">
              <w:rPr>
                <w:rtl w:val="0"/>
              </w:rPr>
              <w:t xml:space="preserve">, a collaboration with lyricist and composer Gabriel Kahane, which premiered at The Public Theater in the spring of 2012; </w:t>
            </w:r>
            <w:r w:rsidDel="00000000" w:rsidR="00000000" w:rsidRPr="00000000">
              <w:rPr>
                <w:i w:val="1"/>
                <w:iCs w:val="1"/>
                <w:rtl w:val="0"/>
              </w:rPr>
              <w:t xml:space="preserve">The Elephant &amp; The Whale</w:t>
            </w:r>
            <w:r w:rsidDel="00000000" w:rsidR="00000000" w:rsidRPr="00000000">
              <w:rPr>
                <w:rtl w:val="0"/>
              </w:rPr>
              <w:t xml:space="preserve"> (with Redmoon and Chicago Children’s Theatre); adaptations of George Saunders’ short stories </w:t>
            </w:r>
            <w:r w:rsidDel="00000000" w:rsidR="00000000" w:rsidRPr="00000000">
              <w:rPr>
                <w:i w:val="1"/>
                <w:iCs w:val="1"/>
                <w:rtl w:val="0"/>
              </w:rPr>
              <w:t xml:space="preserve">CommComm</w:t>
            </w:r>
            <w:r w:rsidDel="00000000" w:rsidR="00000000" w:rsidRPr="00000000">
              <w:rPr>
                <w:rtl w:val="0"/>
              </w:rPr>
              <w:t xml:space="preserve"> (commissioned by the Goodman and further developed by New York’s Page 73 Productions) and </w:t>
            </w:r>
            <w:r w:rsidDel="00000000" w:rsidR="00000000" w:rsidRPr="00000000">
              <w:rPr>
                <w:i w:val="1"/>
                <w:iCs w:val="1"/>
                <w:rtl w:val="0"/>
              </w:rPr>
              <w:t xml:space="preserve">Jon</w:t>
            </w:r>
            <w:r w:rsidDel="00000000" w:rsidR="00000000" w:rsidRPr="00000000">
              <w:rPr>
                <w:rtl w:val="0"/>
              </w:rPr>
              <w:t xml:space="preserve">, which won the 2008 Equity Jeff Award for Best New Adaptation; </w:t>
            </w:r>
            <w:r w:rsidDel="00000000" w:rsidR="00000000" w:rsidRPr="00000000">
              <w:rPr>
                <w:i w:val="1"/>
                <w:iCs w:val="1"/>
                <w:rtl w:val="0"/>
              </w:rPr>
              <w:t xml:space="preserve">The Twins Would Like To Say</w:t>
            </w:r>
            <w:r w:rsidDel="00000000" w:rsidR="00000000" w:rsidRPr="00000000">
              <w:rPr>
                <w:rtl w:val="0"/>
              </w:rPr>
              <w:t xml:space="preserve"> for Dog &amp; Pony Theatre Co. ; and </w:t>
            </w:r>
            <w:r w:rsidDel="00000000" w:rsidR="00000000" w:rsidRPr="00000000">
              <w:rPr>
                <w:i w:val="1"/>
                <w:iCs w:val="1"/>
                <w:rtl w:val="0"/>
              </w:rPr>
              <w:t xml:space="preserve">Laika’s Coffin</w:t>
            </w:r>
            <w:r w:rsidDel="00000000" w:rsidR="00000000" w:rsidRPr="00000000">
              <w:rPr>
                <w:rtl w:val="0"/>
              </w:rPr>
              <w:t xml:space="preserve"> and </w:t>
            </w:r>
            <w:r w:rsidDel="00000000" w:rsidR="00000000" w:rsidRPr="00000000">
              <w:rPr>
                <w:i w:val="1"/>
                <w:iCs w:val="1"/>
                <w:rtl w:val="0"/>
              </w:rPr>
              <w:t xml:space="preserve">Winter Pageant 2010</w:t>
            </w:r>
            <w:r w:rsidDel="00000000" w:rsidR="00000000" w:rsidRPr="00000000">
              <w:rPr>
                <w:rtl w:val="0"/>
              </w:rPr>
              <w:t xml:space="preserve"> for Redmoon, where he spent two years as a directing apprentice through Theatre Communications Group’s New Generations program. Directing credits include </w:t>
            </w:r>
            <w:r w:rsidDel="00000000" w:rsidR="00000000" w:rsidRPr="00000000">
              <w:rPr>
                <w:i w:val="1"/>
                <w:iCs w:val="1"/>
                <w:rtl w:val="0"/>
              </w:rPr>
              <w:t xml:space="preserve">Samsara </w:t>
            </w:r>
            <w:r w:rsidDel="00000000" w:rsidR="00000000" w:rsidRPr="00000000">
              <w:rPr>
                <w:rtl w:val="0"/>
              </w:rPr>
              <w:t xml:space="preserve">and</w:t>
            </w:r>
            <w:r w:rsidDel="00000000" w:rsidR="00000000" w:rsidRPr="00000000">
              <w:rPr>
                <w:i w:val="1"/>
                <w:iCs w:val="1"/>
                <w:rtl w:val="0"/>
              </w:rPr>
              <w:t xml:space="preserve"> </w:t>
            </w:r>
            <w:r w:rsidDel="00000000" w:rsidR="00000000" w:rsidRPr="00000000">
              <w:rPr>
                <w:rtl w:val="0"/>
              </w:rPr>
              <w:t xml:space="preserve">Philip Dawkins’</w:t>
            </w:r>
            <w:r w:rsidDel="00000000" w:rsidR="00000000" w:rsidRPr="00000000">
              <w:rPr>
                <w:i w:val="1"/>
                <w:iCs w:val="1"/>
                <w:rtl w:val="0"/>
              </w:rPr>
              <w:t xml:space="preserve">Failure: A Love Story</w:t>
            </w:r>
            <w:r w:rsidDel="00000000" w:rsidR="00000000" w:rsidRPr="00000000">
              <w:rPr>
                <w:rtl w:val="0"/>
              </w:rPr>
              <w:t xml:space="preserve"> at Victory Gardens Theater; </w:t>
            </w:r>
            <w:r w:rsidDel="00000000" w:rsidR="00000000" w:rsidRPr="00000000">
              <w:rPr>
                <w:i w:val="1"/>
                <w:iCs w:val="1"/>
                <w:rtl w:val="0"/>
              </w:rPr>
              <w:t xml:space="preserve">Basetrack</w:t>
            </w:r>
            <w:r w:rsidDel="00000000" w:rsidR="00000000" w:rsidRPr="00000000">
              <w:rPr>
                <w:rtl w:val="0"/>
              </w:rPr>
              <w:t xml:space="preserve"> with En Garde Arts; Marcus Gardley’s </w:t>
            </w:r>
            <w:r w:rsidDel="00000000" w:rsidR="00000000" w:rsidRPr="00000000">
              <w:rPr>
                <w:i w:val="1"/>
                <w:iCs w:val="1"/>
                <w:rtl w:val="0"/>
              </w:rPr>
              <w:t xml:space="preserve">The Box</w:t>
            </w:r>
            <w:r w:rsidDel="00000000" w:rsidR="00000000" w:rsidRPr="00000000">
              <w:rPr>
                <w:rtl w:val="0"/>
              </w:rPr>
              <w:t xml:space="preserve"> with The Foundry Theatre; Jason Grote’s </w:t>
            </w:r>
            <w:r w:rsidDel="00000000" w:rsidR="00000000" w:rsidRPr="00000000">
              <w:rPr>
                <w:i w:val="1"/>
                <w:iCs w:val="1"/>
                <w:rtl w:val="0"/>
              </w:rPr>
              <w:t xml:space="preserve">Civilization (all you can eat)</w:t>
            </w:r>
            <w:r w:rsidDel="00000000" w:rsidR="00000000" w:rsidRPr="00000000">
              <w:rPr>
                <w:rtl w:val="0"/>
              </w:rPr>
              <w:t xml:space="preserve">for Clubbed Thumb’s Summer Works Festival; </w:t>
            </w:r>
            <w:r w:rsidDel="00000000" w:rsidR="00000000" w:rsidRPr="00000000">
              <w:rPr>
                <w:i w:val="1"/>
                <w:iCs w:val="1"/>
                <w:rtl w:val="0"/>
              </w:rPr>
              <w:t xml:space="preserve">Jon</w:t>
            </w:r>
            <w:r w:rsidDel="00000000" w:rsidR="00000000" w:rsidRPr="00000000">
              <w:rPr>
                <w:rtl w:val="0"/>
              </w:rPr>
              <w:t xml:space="preserve"> and Jason Grote’s </w:t>
            </w:r>
            <w:r w:rsidDel="00000000" w:rsidR="00000000" w:rsidRPr="00000000">
              <w:rPr>
                <w:i w:val="1"/>
                <w:iCs w:val="1"/>
                <w:rtl w:val="0"/>
              </w:rPr>
              <w:t xml:space="preserve">1001</w:t>
            </w:r>
            <w:r w:rsidDel="00000000" w:rsidR="00000000" w:rsidRPr="00000000">
              <w:rPr>
                <w:rtl w:val="0"/>
              </w:rPr>
              <w:t xml:space="preserve"> for Collaboraction; numerous Redmoon events and spectacles; and the clown play </w:t>
            </w:r>
            <w:r w:rsidDel="00000000" w:rsidR="00000000" w:rsidRPr="00000000">
              <w:rPr>
                <w:i w:val="1"/>
                <w:iCs w:val="1"/>
                <w:rtl w:val="0"/>
              </w:rPr>
              <w:t xml:space="preserve">Guerra</w:t>
            </w:r>
            <w:r w:rsidDel="00000000" w:rsidR="00000000" w:rsidRPr="00000000">
              <w:rPr>
                <w:rtl w:val="0"/>
              </w:rPr>
              <w:t xml:space="preserve">, developed with Devon de Mayo and Mexico City-based troupe La Piara. </w:t>
            </w:r>
          </w:p>
          <w:p w:rsidR="00000000" w:rsidDel="00000000" w:rsidP="00000000" w:rsidRDefault="00000000" w:rsidRPr="00000000" w14:paraId="00000015">
            <w:pPr>
              <w:widowControl w:val="0"/>
              <w:spacing w:after="240" w:before="240" w:lineRule="auto"/>
              <w:rPr/>
            </w:pPr>
            <w:r w:rsidDel="00000000" w:rsidR="00000000" w:rsidRPr="00000000">
              <w:rPr>
                <w:b w:val="1"/>
                <w:bCs w:val="1"/>
                <w:rtl w:val="0"/>
              </w:rPr>
              <w:t xml:space="preserve">Email: </w:t>
            </w:r>
            <w:r w:rsidDel="00000000" w:rsidR="00000000" w:rsidRPr="00000000">
              <w:rPr>
                <w:rtl w:val="0"/>
              </w:rPr>
              <w:t xml:space="preserve">press@goodmantheatre.org</w:t>
            </w:r>
          </w:p>
          <w:p w:rsidR="00000000" w:rsidDel="00000000" w:rsidP="00000000" w:rsidRDefault="00000000" w:rsidRPr="00000000" w14:paraId="00000016">
            <w:pPr>
              <w:widowControl w:val="0"/>
              <w:spacing w:before="240" w:lineRule="auto"/>
              <w:rPr/>
            </w:pPr>
            <w:r w:rsidDel="00000000" w:rsidR="00000000" w:rsidRPr="00000000">
              <w:rPr>
                <w:b w:val="1"/>
                <w:bCs w:val="1"/>
                <w:rtl w:val="0"/>
              </w:rPr>
              <w:t xml:space="preserve">Category: </w:t>
            </w:r>
            <w:r w:rsidDel="00000000" w:rsidR="00000000" w:rsidRPr="00000000">
              <w:rPr>
                <w:rtl w:val="0"/>
              </w:rPr>
              <w:t xml:space="preserve">Headshots</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1155cc"/>
            <w:u w:val="single"/>
            <w:rtl w:val="0"/>
          </w:rPr>
          <w:t xml:space="preserve">https://www.newcitystage.com/2016/02/17/review-2666goodman-theatre/</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https://www.theatreinchicago.com/2666/8313/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0">
        <w:r w:rsidDel="00000000" w:rsidR="00000000" w:rsidRPr="00000000">
          <w:rPr>
            <w:color w:val="1155cc"/>
            <w:u w:val="single"/>
            <w:rtl w:val="0"/>
          </w:rPr>
          <w:t xml:space="preserve">https://stageandcinema.com/2016/02/18/2666-goodman/</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1">
        <w:r w:rsidDel="00000000" w:rsidR="00000000" w:rsidRPr="00000000">
          <w:rPr>
            <w:color w:val="1155cc"/>
            <w:u w:val="single"/>
            <w:rtl w:val="0"/>
          </w:rPr>
          <w:t xml:space="preserve">https://www.nytimes.com/2016/01/31/theater/2666-a-most-difficult-novel-takes-the-stage.html</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2">
        <w:r w:rsidDel="00000000" w:rsidR="00000000" w:rsidRPr="00000000">
          <w:rPr>
            <w:color w:val="1155cc"/>
            <w:u w:val="single"/>
            <w:rtl w:val="0"/>
          </w:rPr>
          <w:t xml:space="preserve">https://chicago.suntimes.com/2016/2/17/18472099/labyrinthine-voyage-through-2666-a-bravura-feat-at-goodman-theatre</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3">
        <w:r w:rsidDel="00000000" w:rsidR="00000000" w:rsidRPr="00000000">
          <w:rPr>
            <w:color w:val="1155cc"/>
            <w:u w:val="single"/>
            <w:rtl w:val="0"/>
          </w:rPr>
          <w:t xml:space="preserve">https://aroundthetownchicago.com/theatre-reviews/2666/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4">
        <w:r w:rsidDel="00000000" w:rsidR="00000000" w:rsidRPr="00000000">
          <w:rPr>
            <w:color w:val="1155cc"/>
            <w:u w:val="single"/>
            <w:rtl w:val="0"/>
          </w:rPr>
          <w:t xml:space="preserve">https://www.theguardian.com/books/2016/feb/01/2666-adapting-roberto-bolano-novel-for-the-stage-theatrical</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
        <w:r w:rsidDel="00000000" w:rsidR="00000000" w:rsidRPr="00000000">
          <w:rPr>
            <w:color w:val="1155cc"/>
            <w:u w:val="single"/>
            <w:rtl w:val="0"/>
          </w:rPr>
          <w:t xml:space="preserve">https://howlround.com/women-and-men-robert-falls-2666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6">
        <w:r w:rsidDel="00000000" w:rsidR="00000000" w:rsidRPr="00000000">
          <w:rPr>
            <w:color w:val="1155cc"/>
            <w:u w:val="single"/>
            <w:rtl w:val="0"/>
          </w:rPr>
          <w:t xml:space="preserve">https://themillions.com/2016/03/confining-roberto-bolanos-2666-to-the-stage.html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7">
        <w:r w:rsidDel="00000000" w:rsidR="00000000" w:rsidRPr="00000000">
          <w:rPr>
            <w:color w:val="1155cc"/>
            <w:u w:val="single"/>
            <w:rtl w:val="0"/>
          </w:rPr>
          <w:t xml:space="preserve">https://electricliterature.com/robert-bolanos-epic-2666-is-now-a-five-hour-play/</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8">
        <w:r w:rsidDel="00000000" w:rsidR="00000000" w:rsidRPr="00000000">
          <w:rPr>
            <w:color w:val="1155cc"/>
            <w:u w:val="single"/>
            <w:rtl w:val="0"/>
          </w:rPr>
          <w:t xml:space="preserve">https://www.chicagomag.com/chicago-magazine/february-2016/goodman-theatre-2666/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9">
        <w:r w:rsidDel="00000000" w:rsidR="00000000" w:rsidRPr="00000000">
          <w:rPr>
            <w:color w:val="1155cc"/>
            <w:u w:val="single"/>
            <w:rtl w:val="0"/>
          </w:rPr>
          <w:t xml:space="preserve">https://www.nytimes.com/2016/02/17/theater/review-bolanos-mysterious-2666-distilled-to-5-hours-by-the-goodman-theater.html</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pStyle w:val="Heading1"/>
        <w:keepNext w:val="0"/>
        <w:keepLines w:val="0"/>
        <w:widowControl w:val="0"/>
        <w:rPr>
          <w:sz w:val="46"/>
          <w:szCs w:val="46"/>
        </w:rPr>
      </w:pPr>
      <w:bookmarkStart w:colFirst="0" w:colLast="0" w:name="_wt55bjyyacwh" w:id="0"/>
      <w:bookmarkEnd w:id="0"/>
      <w:r w:rsidDel="00000000" w:rsidR="00000000" w:rsidRPr="00000000">
        <w:rPr>
          <w:sz w:val="46"/>
          <w:szCs w:val="46"/>
          <w:rtl w:val="0"/>
        </w:rPr>
        <w:t xml:space="preserve">Excerpt: ‘2666’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scene from the stage adaptation of the Roberto Bolaño novel, at the Goodman Theater in Chicago. </w:t>
      </w:r>
      <w:hyperlink r:id="rId20">
        <w:r w:rsidDel="00000000" w:rsidR="00000000" w:rsidRPr="00000000">
          <w:rPr>
            <w:color w:val="1155cc"/>
            <w:u w:val="single"/>
            <w:rtl w:val="0"/>
          </w:rPr>
          <w:t xml:space="preserve">https://www.nytimes.com/video/theater/100000004212620/excerpt-2666.html</w:t>
        </w:r>
      </w:hyperlink>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1">
        <w:r w:rsidDel="00000000" w:rsidR="00000000" w:rsidRPr="00000000">
          <w:rPr>
            <w:color w:val="1155cc"/>
            <w:u w:val="single"/>
            <w:rtl w:val="0"/>
          </w:rPr>
          <w:t xml:space="preserve">https://www.nytimes.com/video/theater/100000004212620/excerpt-2666.html?smid=url-share</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ytimes.com/video/theater/100000004212620/excerpt-2666.html" TargetMode="External"/><Relationship Id="rId11" Type="http://schemas.openxmlformats.org/officeDocument/2006/relationships/hyperlink" Target="https://www.nytimes.com/2016/01/31/theater/2666-a-most-difficult-novel-takes-the-stage.html" TargetMode="External"/><Relationship Id="rId10" Type="http://schemas.openxmlformats.org/officeDocument/2006/relationships/hyperlink" Target="https://stageandcinema.com/2016/02/18/2666-goodman/" TargetMode="External"/><Relationship Id="rId21" Type="http://schemas.openxmlformats.org/officeDocument/2006/relationships/hyperlink" Target="https://www.nytimes.com/video/theater/100000004212620/excerpt-2666.html?smid=url-share" TargetMode="External"/><Relationship Id="rId13" Type="http://schemas.openxmlformats.org/officeDocument/2006/relationships/hyperlink" Target="https://aroundthetownchicago.com/theatre-reviews/2666/" TargetMode="External"/><Relationship Id="rId12" Type="http://schemas.openxmlformats.org/officeDocument/2006/relationships/hyperlink" Target="https://chicago.suntimes.com/2016/2/17/18472099/labyrinthine-voyage-through-2666-a-bravura-feat-at-goodman-theat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atreinchicago.com/2666/8313/" TargetMode="External"/><Relationship Id="rId15" Type="http://schemas.openxmlformats.org/officeDocument/2006/relationships/hyperlink" Target="https://howlround.com/women-and-men-robert-falls-2666" TargetMode="External"/><Relationship Id="rId14" Type="http://schemas.openxmlformats.org/officeDocument/2006/relationships/hyperlink" Target="https://www.theguardian.com/books/2016/feb/01/2666-adapting-roberto-bolano-novel-for-the-stage-theatrical" TargetMode="External"/><Relationship Id="rId17" Type="http://schemas.openxmlformats.org/officeDocument/2006/relationships/hyperlink" Target="https://electricliterature.com/robert-bolanos-epic-2666-is-now-a-five-hour-play/" TargetMode="External"/><Relationship Id="rId16" Type="http://schemas.openxmlformats.org/officeDocument/2006/relationships/hyperlink" Target="https://themillions.com/2016/03/confining-roberto-bolanos-2666-to-the-stage.html" TargetMode="External"/><Relationship Id="rId5" Type="http://schemas.openxmlformats.org/officeDocument/2006/relationships/styles" Target="styles.xml"/><Relationship Id="rId19" Type="http://schemas.openxmlformats.org/officeDocument/2006/relationships/hyperlink" Target="https://www.nytimes.com/2016/02/17/theater/review-bolanos-mysterious-2666-distilled-to-5-hours-by-the-goodman-theater.html" TargetMode="External"/><Relationship Id="rId6" Type="http://schemas.openxmlformats.org/officeDocument/2006/relationships/hyperlink" Target="https://www.goodmantheatre.org/show/2666-2/" TargetMode="External"/><Relationship Id="rId18" Type="http://schemas.openxmlformats.org/officeDocument/2006/relationships/hyperlink" Target="https://www.chicagomag.com/chicago-magazine/february-2016/goodman-theatre-2666/" TargetMode="External"/><Relationship Id="rId7" Type="http://schemas.openxmlformats.org/officeDocument/2006/relationships/hyperlink" Target="https://www.goodmantheatre.org/press-rooms/2666-2/" TargetMode="External"/><Relationship Id="rId8" Type="http://schemas.openxmlformats.org/officeDocument/2006/relationships/hyperlink" Target="https://www.newcitystage.com/2016/02/17/review-2666goodman-theat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