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95959"/>
          <w:sz w:val="17"/>
          <w:szCs w:val="17"/>
        </w:rPr>
        <w:t xml:space="preserve">PLAXI SOLUTIONS</w:t>
      </w:r>
    </w:p>
    <w:p>
      <w:pPr>
        <w:pBdr>
          <w:bottom w:val="single" w:color="1F3864" w:sz="8"/>
        </w:pBdr>
        <w:spacing w:after="110"/>
      </w:pPr>
      <w:r>
        <w:t xml:space="preserve"/>
      </w:r>
    </w:p>
    <w:p>
      <w:pPr>
        <w:spacing w:after="40"/>
      </w:pPr>
      <w:r>
        <w:rPr>
          <w:b/>
          <w:bCs/>
          <w:color w:val="1F3864"/>
          <w:sz w:val="38"/>
          <w:szCs w:val="38"/>
        </w:rPr>
        <w:t xml:space="preserve">Plan de Dirección del Proyecto</w:t>
      </w:r>
    </w:p>
    <w:p>
      <w:pPr>
        <w:spacing w:after="20"/>
      </w:pPr>
      <w:r>
        <w:rPr>
          <w:color w:val="2E5496"/>
          <w:sz w:val="24"/>
          <w:szCs w:val="24"/>
        </w:rPr>
        <w:t xml:space="preserve">Befine Store — Plataforma de comercio electrónico propia</w:t>
      </w:r>
    </w:p>
    <w:p>
      <w:pPr>
        <w:spacing w:after="150"/>
      </w:pPr>
      <w:r>
        <w:rPr>
          <w:i/>
          <w:iCs/>
          <w:color w:val="595959"/>
          <w:sz w:val="20"/>
          <w:szCs w:val="20"/>
        </w:rPr>
        <w:t xml:space="preserve">Documento consolidado — 12 planes de gestión integrados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Proyecto</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Befine Store — Plataforma de comercio electrónico propia para 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Cliente</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Empresa ejecutora</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Plaxi Solutions</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Patrocinador</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Iván Rodríguez (Dueño y Gerente General de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Gerente de proyecto</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Grupo N3 — liderazgo rotativo por sprint (Iván Rodríguez, Carlos Fuentes, Felipe Moraga)</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Curso / institución</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PTY4614 — Proyecto de Título (Capstone) · Duoc UC, sede Plaza Norte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Periodo</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Semestre 2026-2 (10-ago al 12-dic-2026)</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Fecha de emisión</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10 de septiembre de 2026 (act. 23 de septiembre de 2026, v1.1)</w:t>
            </w:r>
          </w:p>
        </w:tc>
      </w:tr>
    </w:tbl>
    <w:p>
      <w:pPr>
        <w:pStyle w:val="Heading2"/>
        <w:spacing w:after="80" w:before="190"/>
      </w:pPr>
      <w:r>
        <w:rPr>
          <w:b/>
          <w:bCs/>
          <w:color w:val="2E5496"/>
          <w:sz w:val="22"/>
          <w:szCs w:val="22"/>
        </w:rPr>
        <w:t xml:space="preserve">Control de versiones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1700"/>
        <w:gridCol w:w="2400"/>
        <w:gridCol w:w="39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Versión</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Autor</w:t>
            </w:r>
          </w:p>
        </w:tc>
        <w:tc>
          <w:tcPr>
            <w:tcW w:type="dxa" w:w="3960"/>
            <w:shd w:fill="1F3864" w:color="auto" w:val="clear"/>
            <w:tcMar>
              <w:top w:type="dxa" w:w="55"/>
              <w:left w:type="dxa" w:w="85"/>
              <w:bottom w:type="dxa" w:w="55"/>
              <w:right w:type="dxa" w:w="85"/>
            </w:tcMar>
          </w:tcPr>
          <w:p>
            <w:pPr>
              <w:spacing w:after="0" w:line="256"/>
            </w:pPr>
            <w:r>
              <w:rPr>
                <w:b/>
                <w:bCs/>
                <w:color w:val="FFFFFF"/>
                <w:sz w:val="19"/>
                <w:szCs w:val="19"/>
              </w:rPr>
              <w:t xml:space="preserve">Descripción</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1.0</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10-sep-2026</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Grupo N3</w:t>
            </w:r>
          </w:p>
        </w:tc>
        <w:tc>
          <w:tcPr>
            <w:tcW w:type="dxa" w:w="3960"/>
            <w:shd w:fill="FFFFFF" w:color="auto" w:val="clear"/>
            <w:tcMar>
              <w:top w:type="dxa" w:w="55"/>
              <w:left w:type="dxa" w:w="85"/>
              <w:bottom w:type="dxa" w:w="55"/>
              <w:right w:type="dxa" w:w="85"/>
            </w:tcMar>
          </w:tcPr>
          <w:p>
            <w:pPr>
              <w:spacing w:after="0" w:line="256"/>
            </w:pPr>
            <w:r>
              <w:rPr>
                <w:color w:val="000000"/>
                <w:sz w:val="19"/>
                <w:szCs w:val="19"/>
              </w:rPr>
              <w:t xml:space="preserve">Emisión inicial para revisión del patrocinador</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1.1</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23-sep-2026</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Grupo N3</w:t>
            </w:r>
          </w:p>
        </w:tc>
        <w:tc>
          <w:tcPr>
            <w:tcW w:type="dxa" w:w="3960"/>
            <w:shd w:fill="F2F5FB" w:color="auto" w:val="clear"/>
            <w:tcMar>
              <w:top w:type="dxa" w:w="55"/>
              <w:left w:type="dxa" w:w="85"/>
              <w:bottom w:type="dxa" w:w="55"/>
              <w:right w:type="dxa" w:w="85"/>
            </w:tcMar>
          </w:tcPr>
          <w:p>
            <w:pPr>
              <w:spacing w:after="0" w:line="256"/>
            </w:pPr>
            <w:r>
              <w:rPr>
                <w:color w:val="000000"/>
                <w:sz w:val="19"/>
                <w:szCs w:val="19"/>
              </w:rPr>
              <w:t xml:space="preserve">Incorpora SC-01 (presupuesto: servicios pagos financiados por el cliente) y SC-02 (frontend Flutter → HTML5/CSS3/JavaScript; app móvil nativa fuera de alcance).</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1.2</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09-oct-2026</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Grupo N3</w:t>
            </w:r>
          </w:p>
        </w:tc>
        <w:tc>
          <w:tcPr>
            <w:tcW w:type="dxa" w:w="3960"/>
            <w:shd w:fill="F2F5FB" w:color="auto" w:val="clear"/>
            <w:tcMar>
              <w:top w:type="dxa" w:w="55"/>
              <w:left w:type="dxa" w:w="85"/>
              <w:bottom w:type="dxa" w:w="55"/>
              <w:right w:type="dxa" w:w="85"/>
            </w:tcMar>
          </w:tcPr>
          <w:p>
            <w:pPr>
              <w:spacing w:after="0" w:line="256"/>
            </w:pPr>
            <w:r>
              <w:rPr>
                <w:color w:val="000000"/>
                <w:sz w:val="19"/>
                <w:szCs w:val="19"/>
              </w:rPr>
              <w:t xml:space="preserve">Incorpora SC-03 (seguridad de pedidos y roles configurables) y SC-04 (plan gratuito de Supabase por decisión del cliente; línea base de costo $508.795 CLP/año; RNF-06 sin porcentaje comprometido).</w:t>
            </w:r>
          </w:p>
        </w:tc>
      </w:tr>
    </w:tbl>
    <w:p>
      <w:pPr>
        <w:pStyle w:val="Heading1"/>
        <w:spacing w:after="100" w:before="250"/>
      </w:pPr>
      <w:r>
        <w:rPr>
          <w:b/>
          <w:bCs/>
          <w:color w:val="1F3864"/>
          <w:sz w:val="25"/>
          <w:szCs w:val="25"/>
        </w:rPr>
        <w:t xml:space="preserve">Tabla de Contenidos</w:t>
      </w:r>
    </w:p>
    <w:p>
      <w:pPr>
        <w:spacing w:after="120" w:line="274"/>
      </w:pPr>
      <w:r>
        <w:rPr>
          <w:i/>
          <w:iCs/>
          <w:color w:val="595959"/>
          <w:sz w:val="19"/>
          <w:szCs w:val="19"/>
        </w:rPr>
        <w:t xml:space="preserve">La tabla de contenidos se genera automáticamente al abrir el documento en Microsoft Word. Si aparece vacía, haga clic derecho sobre ella y seleccione «Actualizar campos» → «Actualizar toda la tabla».</w:t>
      </w:r>
    </w:p>
    <w:p>
      <w:pPr>
        <w:pStyle w:val="Heading1"/>
        <w:spacing w:after="100" w:before="250"/>
      </w:pPr>
      <w:r>
        <w:rPr>
          <w:b/>
          <w:bCs/>
          <w:color w:val="1F3864"/>
          <w:sz w:val="25"/>
          <w:szCs w:val="25"/>
        </w:rPr>
        <w:t xml:space="preserve">Información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Empresa / Organización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Befine Store — Plataforma de comercio electrónico propia para 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Fecha de preparación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10 de septiembre de 2026 (act. 23 de septiembre de 2026)</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Cliente</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Agua Purificada Befine (representado por Iván Rodríguez)</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Patrocinador principal</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Iván Rodríguez (Dueño y Gerente General de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Gerente de 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Grupo N3 — liderazgo rotativo por sprint (Iván Rodríguez, Carlos Fuentes, Felipe Moraga)</w:t>
            </w:r>
          </w:p>
        </w:tc>
      </w:tr>
    </w:tbl>
    <w:p>
      <w:pPr>
        <w:pStyle w:val="Heading2"/>
        <w:spacing w:after="80" w:before="190"/>
      </w:pPr>
      <w:r>
        <w:rPr>
          <w:b/>
          <w:bCs/>
          <w:color w:val="2E5496"/>
          <w:sz w:val="22"/>
          <w:szCs w:val="22"/>
        </w:rPr>
        <w:t xml:space="preserve">Historial de versiones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1700"/>
        <w:gridCol w:w="2400"/>
        <w:gridCol w:w="39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Versión</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Autor</w:t>
            </w:r>
          </w:p>
        </w:tc>
        <w:tc>
          <w:tcPr>
            <w:tcW w:type="dxa" w:w="3960"/>
            <w:shd w:fill="1F3864" w:color="auto" w:val="clear"/>
            <w:tcMar>
              <w:top w:type="dxa" w:w="55"/>
              <w:left w:type="dxa" w:w="85"/>
              <w:bottom w:type="dxa" w:w="55"/>
              <w:right w:type="dxa" w:w="85"/>
            </w:tcMar>
          </w:tcPr>
          <w:p>
            <w:pPr>
              <w:spacing w:after="0" w:line="256"/>
            </w:pPr>
            <w:r>
              <w:rPr>
                <w:b/>
                <w:bCs/>
                <w:color w:val="FFFFFF"/>
                <w:sz w:val="19"/>
                <w:szCs w:val="19"/>
              </w:rPr>
              <w:t xml:space="preserve">Descripción</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1.0</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10-sep-2026</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960"/>
            <w:shd w:fill="FFFFFF" w:color="auto" w:val="clear"/>
            <w:tcMar>
              <w:top w:type="dxa" w:w="55"/>
              <w:left w:type="dxa" w:w="85"/>
              <w:bottom w:type="dxa" w:w="55"/>
              <w:right w:type="dxa" w:w="85"/>
            </w:tcMar>
          </w:tcPr>
          <w:p>
            <w:pPr>
              <w:spacing w:after="0" w:line="256"/>
            </w:pPr>
            <w:r>
              <w:rPr>
                <w:color w:val="000000"/>
                <w:sz w:val="19"/>
                <w:szCs w:val="19"/>
              </w:rPr>
              <w:t xml:space="preserve">Emisión inicial para revisión del patrocinador</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1.1</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23-sep-2026</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960"/>
            <w:shd w:fill="F2F5FB" w:color="auto" w:val="clear"/>
            <w:tcMar>
              <w:top w:type="dxa" w:w="55"/>
              <w:left w:type="dxa" w:w="85"/>
              <w:bottom w:type="dxa" w:w="55"/>
              <w:right w:type="dxa" w:w="85"/>
            </w:tcMar>
          </w:tcPr>
          <w:p>
            <w:pPr>
              <w:spacing w:after="0" w:line="256"/>
            </w:pPr>
            <w:r>
              <w:rPr>
                <w:color w:val="000000"/>
                <w:sz w:val="19"/>
                <w:szCs w:val="19"/>
              </w:rPr>
              <w:t xml:space="preserve">Actualización por SC-01 y SC-02</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1.2</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9 de octubre de 2026</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960"/>
            <w:shd w:fill="F2F5FB" w:color="auto" w:val="clear"/>
            <w:tcMar>
              <w:top w:type="dxa" w:w="55"/>
              <w:left w:type="dxa" w:w="85"/>
              <w:bottom w:type="dxa" w:w="55"/>
              <w:right w:type="dxa" w:w="85"/>
            </w:tcMar>
          </w:tcPr>
          <w:p>
            <w:pPr>
              <w:spacing w:after="0" w:line="256"/>
            </w:pPr>
            <w:r>
              <w:rPr>
                <w:color w:val="000000"/>
                <w:sz w:val="19"/>
                <w:szCs w:val="19"/>
              </w:rPr>
              <w:t xml:space="preserve">Actualización por SC-03 y SC-04</w:t>
            </w:r>
          </w:p>
        </w:tc>
      </w:tr>
    </w:tbl>
    <w:p>
      <w:pPr>
        <w:pStyle w:val="Heading1"/>
        <w:spacing w:after="100" w:before="250"/>
      </w:pPr>
      <w:r>
        <w:rPr>
          <w:b/>
          <w:bCs/>
          <w:color w:val="1F3864"/>
          <w:sz w:val="25"/>
          <w:szCs w:val="25"/>
        </w:rPr>
        <w:t xml:space="preserve">Aprobaciones</w:t>
      </w:r>
    </w:p>
    <w:p>
      <w:pPr>
        <w:spacing w:after="120" w:line="274"/>
      </w:pPr>
      <w:r>
        <w:rPr>
          <w:sz w:val="21"/>
          <w:szCs w:val="21"/>
        </w:rPr>
        <w:t xml:space="preserve">El presente Plan de Dirección del Proyecto se somete a la aprobación del patrocinador y del equipo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560"/>
        <w:gridCol w:w="2600"/>
        <w:gridCol w:w="1700"/>
        <w:gridCol w:w="1500"/>
      </w:tblGrid>
      <w:tr>
        <w:trPr>
          <w:tblHeader/>
        </w:trPr>
        <w:tc>
          <w:tcPr>
            <w:tcW w:type="dxa" w:w="3560"/>
            <w:shd w:fill="1F3864" w:color="auto" w:val="clear"/>
            <w:tcMar>
              <w:top w:type="dxa" w:w="55"/>
              <w:left w:type="dxa" w:w="85"/>
              <w:bottom w:type="dxa" w:w="55"/>
              <w:right w:type="dxa" w:w="85"/>
            </w:tcMar>
          </w:tcPr>
          <w:p>
            <w:pPr>
              <w:spacing w:after="0" w:line="256"/>
            </w:pPr>
            <w:r>
              <w:rPr>
                <w:b/>
                <w:bCs/>
                <w:color w:val="FFFFFF"/>
                <w:sz w:val="19"/>
                <w:szCs w:val="19"/>
              </w:rPr>
              <w:t xml:space="preserve">Nombre</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Rol / Cargo</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Firma</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Patrocinador (Dueño de Befine)</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bl>
    <w:p>
      <w:pPr>
        <w:pStyle w:val="Heading1"/>
        <w:spacing w:after="100" w:before="250"/>
      </w:pPr>
      <w:r>
        <w:rPr>
          <w:b/>
          <w:bCs/>
          <w:color w:val="1F3864"/>
          <w:sz w:val="25"/>
          <w:szCs w:val="25"/>
        </w:rPr>
        <w:t xml:space="preserve">Introducción</w:t>
      </w:r>
    </w:p>
    <w:p>
      <w:pPr>
        <w:spacing w:after="120" w:line="274"/>
      </w:pPr>
      <w:r>
        <w:rPr>
          <w:sz w:val="21"/>
          <w:szCs w:val="21"/>
        </w:rPr>
        <w:t xml:space="preserve">Este Plan de Dirección del Proyecto integra los planes de gestión subsidiarios definidos por la Guía del PMBOK para el proyecto Befine Store, desarrollado por el equipo Grupo N3 (Plaxi Solutions) como Proyecto de Título (curso PTY4614) de Ingeniería en Informática de Duoc UC, sede Plaza Norte, durante el semestre 2026-2. Se elabora en la fase de Planificación a partir del Acta de Constitución (aprobada el 22-ago-2026), el Documento de Requerimientos y el Informe APT Fase 1.</w:t>
      </w:r>
    </w:p>
    <w:p>
      <w:pPr>
        <w:spacing w:after="120" w:line="274"/>
      </w:pPr>
      <w:r>
        <w:rPr>
          <w:sz w:val="21"/>
          <w:szCs w:val="21"/>
        </w:rPr>
        <w:t xml:space="preserve">El proyecto consiste en diseñar, desarrollar y desplegar una plataforma de comercio electrónico propia para Agua Purificada Befine —microempresa de distribución de agua purificada en Quilicura, con ~450 clientes activos y ~1.000 entregas mensuales— construida con HTML5, CSS3 y JavaScript (web mobile-first / PWA) sobre Supabase (PostgreSQL), que reemplaza a Shopify e integra landing page, panel de administración, fidelización por puntos, pago con Mercado Pago y facturación electrónica con OpenFactura. El desarrollo lo ejecuta Plaxi Solutions sin cobro de horas-hombre (trabajo de título); el cliente financia las herramientas e infraestructura. </w:t>
      </w:r>
      <w:r>
        <w:rPr>
          <w:i/>
          <w:iCs/>
          <w:color w:val="595959"/>
          <w:sz w:val="19"/>
          <w:szCs w:val="19"/>
        </w:rPr>
        <w:t xml:space="preserve">(Tecnología de frontend y financiamiento actualizados por SC-02 y SC-01.)</w:t>
      </w:r>
    </w:p>
    <w:p>
      <w:pPr>
        <w:pStyle w:val="Heading2"/>
        <w:spacing w:after="80" w:before="190"/>
      </w:pPr>
      <w:r>
        <w:rPr>
          <w:b/>
          <w:bCs/>
          <w:color w:val="2E5496"/>
          <w:sz w:val="22"/>
          <w:szCs w:val="22"/>
        </w:rPr>
        <w:t xml:space="preserve">Alcance de este documento</w:t>
      </w:r>
    </w:p>
    <w:p>
      <w:pPr>
        <w:spacing w:after="120" w:line="274"/>
      </w:pPr>
      <w:r>
        <w:rPr>
          <w:sz w:val="21"/>
          <w:szCs w:val="21"/>
        </w:rPr>
        <w:t xml:space="preserve">El documento consolida los 12 planes de gestión (Alcance, Requerimientos, Cronograma, Costos, Calidad, Recursos, Comunicaciones, Riesgos, Adquisiciones, Interesados, Cambios y Configuración), las líneas base del proyecto y los componentes adicionales de dirección. Cada plan existe además como documento individual autocontenido, y se acompaña de los siguientes anexos: Estructura de Desglose del Trabajo (EDT) y Diccionario; Registro de Riesgos (Excel); Presupuesto del Proyecto (Excel); Matriz de Adquisiciones (Excel); y Formato de Solicitud de Cambio.</w:t>
      </w:r>
    </w:p>
    <w:p>
      <w:pPr>
        <w:pStyle w:val="Heading2"/>
        <w:spacing w:after="80" w:before="190"/>
      </w:pPr>
      <w:r>
        <w:rPr>
          <w:b/>
          <w:bCs/>
          <w:color w:val="2E5496"/>
          <w:sz w:val="22"/>
          <w:szCs w:val="22"/>
        </w:rPr>
        <w:t xml:space="preserve">Resumen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Campo</w:t>
            </w:r>
          </w:p>
        </w:tc>
        <w:tc>
          <w:tcPr>
            <w:tcW w:type="dxa" w:w="6760"/>
            <w:shd w:fill="1F3864" w:color="auto" w:val="clear"/>
            <w:tcMar>
              <w:top w:type="dxa" w:w="55"/>
              <w:left w:type="dxa" w:w="85"/>
              <w:bottom w:type="dxa" w:w="55"/>
              <w:right w:type="dxa" w:w="85"/>
            </w:tcMar>
          </w:tcPr>
          <w:p>
            <w:pPr>
              <w:spacing w:after="0" w:line="256"/>
            </w:pPr>
            <w:r>
              <w:rPr>
                <w:b/>
                <w:bCs/>
                <w:color w:val="FFFFFF"/>
                <w:sz w:val="19"/>
                <w:szCs w:val="19"/>
              </w:rPr>
              <w:t xml:space="preserve">Detalle</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Cliente</w:t>
            </w:r>
          </w:p>
        </w:tc>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Agua Purificada Befine (Iván Rodríguez) — Quilicura, Santiago</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Ejecutor</w:t>
            </w:r>
          </w:p>
        </w:tc>
        <w:tc>
          <w:tcPr>
            <w:tcW w:type="dxa" w:w="6760"/>
            <w:shd w:fill="F2F5FB" w:color="auto" w:val="clear"/>
            <w:tcMar>
              <w:top w:type="dxa" w:w="55"/>
              <w:left w:type="dxa" w:w="85"/>
              <w:bottom w:type="dxa" w:w="55"/>
              <w:right w:type="dxa" w:w="85"/>
            </w:tcMar>
          </w:tcPr>
          <w:p>
            <w:pPr>
              <w:spacing w:after="0" w:line="256"/>
            </w:pPr>
            <w:r>
              <w:rPr>
                <w:color w:val="000000"/>
                <w:sz w:val="19"/>
                <w:szCs w:val="19"/>
              </w:rPr>
              <w:t xml:space="preserve">Plaxi Solutions (Grupo N3): Iván Rodríguez, Carlos Fuentes, Felipe Moraga</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Stack</w:t>
            </w:r>
          </w:p>
        </w:tc>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HTML5/CSS3/JavaScript, Supabase (PostgreSQL/Auth/Edge Functions), Mercado Pago, OpenFactura, Docker, GitHub</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Alcance</w:t>
            </w:r>
          </w:p>
        </w:tc>
        <w:tc>
          <w:tcPr>
            <w:tcW w:type="dxa" w:w="6760"/>
            <w:shd w:fill="F2F5FB" w:color="auto" w:val="clear"/>
            <w:tcMar>
              <w:top w:type="dxa" w:w="55"/>
              <w:left w:type="dxa" w:w="85"/>
              <w:bottom w:type="dxa" w:w="55"/>
              <w:right w:type="dxa" w:w="85"/>
            </w:tcMar>
          </w:tcPr>
          <w:p>
            <w:pPr>
              <w:spacing w:after="0" w:line="256"/>
            </w:pPr>
            <w:r>
              <w:rPr>
                <w:color w:val="000000"/>
                <w:sz w:val="19"/>
                <w:szCs w:val="19"/>
              </w:rPr>
              <w:t xml:space="preserve">25 RF + 14 RNF: landing + panel de administración + fidelización + pagos + facturación</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Plazo</w:t>
            </w:r>
          </w:p>
        </w:tc>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18 semanas (10-ago al 12-dic-2026), sin extensión</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Presupuesto</w:t>
            </w:r>
          </w:p>
        </w:tc>
        <w:tc>
          <w:tcPr>
            <w:tcW w:type="dxa" w:w="6760"/>
            <w:shd w:fill="F2F5FB" w:color="auto" w:val="clear"/>
            <w:tcMar>
              <w:top w:type="dxa" w:w="55"/>
              <w:left w:type="dxa" w:w="85"/>
              <w:bottom w:type="dxa" w:w="55"/>
              <w:right w:type="dxa" w:w="85"/>
            </w:tcMar>
          </w:tcPr>
          <w:p>
            <w:pPr>
              <w:spacing w:after="0" w:line="256"/>
            </w:pPr>
            <w:r>
              <w:rPr>
                <w:color w:val="000000"/>
                <w:sz w:val="19"/>
                <w:szCs w:val="19"/>
              </w:rPr>
              <w:t xml:space="preserve">≈ $508.795 CLP/año en herramientas e infraestructura (incl. 15% contingencia), financiado por el cliente</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Metodología</w:t>
            </w:r>
          </w:p>
        </w:tc>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Híbrida PMBOK + Scrum, 5 fases, sprints de 2 semanas</w:t>
            </w:r>
          </w:p>
        </w:tc>
      </w:tr>
    </w:tbl>
    <w:p>
      <w:pPr>
        <w:pageBreakBefore/>
      </w:pPr>
      <w:r>
        <w:t xml:space="preserve"/>
      </w:r>
    </w:p>
    <w:p>
      <w:pPr>
        <w:pStyle w:val="Heading1"/>
        <w:spacing w:after="100" w:before="250"/>
      </w:pPr>
      <w:r>
        <w:rPr>
          <w:b/>
          <w:bCs/>
          <w:color w:val="1F3864"/>
          <w:sz w:val="25"/>
          <w:szCs w:val="25"/>
        </w:rPr>
        <w:t xml:space="preserve">Planes de gestión de proyecto subsidiarios</w:t>
      </w:r>
    </w:p>
    <w:p>
      <w:pPr>
        <w:pStyle w:val="Heading1"/>
        <w:spacing w:after="100" w:before="250"/>
      </w:pPr>
      <w:r>
        <w:rPr>
          <w:b/>
          <w:bCs/>
          <w:color w:val="1F3864"/>
          <w:sz w:val="25"/>
          <w:szCs w:val="25"/>
        </w:rPr>
        <w:t xml:space="preserve">Plan de Gestión del Alcance</w:t>
      </w:r>
    </w:p>
    <w:p>
      <w:pPr>
        <w:pStyle w:val="Heading2"/>
        <w:spacing w:after="80" w:before="190"/>
      </w:pPr>
      <w:r>
        <w:rPr>
          <w:b/>
          <w:bCs/>
          <w:color w:val="2E5496"/>
          <w:sz w:val="22"/>
          <w:szCs w:val="22"/>
        </w:rPr>
        <w:t xml:space="preserve">1. Propósito del plan</w:t>
      </w:r>
    </w:p>
    <w:p>
      <w:pPr>
        <w:spacing w:after="120" w:line="274"/>
      </w:pPr>
      <w:r>
        <w:rPr>
          <w:sz w:val="21"/>
          <w:szCs w:val="21"/>
        </w:rPr>
        <w:t xml:space="preserve">Este plan documenta cómo se definirá, desarrollará, monitoreará, validará y controlará el alcance del proyecto Befine Store, asegurando que se ejecuten todas las labores requeridas —y solo esas— para completar el trabajo dentro de las 18 semanas del semestre 2026-2.</w:t>
      </w:r>
    </w:p>
    <w:p>
      <w:pPr>
        <w:pStyle w:val="Heading2"/>
        <w:spacing w:after="80" w:before="190"/>
      </w:pPr>
      <w:r>
        <w:rPr>
          <w:b/>
          <w:bCs/>
          <w:color w:val="2E5496"/>
          <w:sz w:val="22"/>
          <w:szCs w:val="22"/>
        </w:rPr>
        <w:t xml:space="preserve">2. Definición del alcance del proyecto y del producto</w:t>
      </w:r>
    </w:p>
    <w:p>
      <w:pPr>
        <w:spacing w:after="120" w:line="274"/>
      </w:pPr>
      <w:r>
        <w:rPr>
          <w:b/>
          <w:bCs/>
          <w:sz w:val="21"/>
          <w:szCs w:val="21"/>
        </w:rPr>
        <w:t xml:space="preserve">Alcance del producto: </w:t>
      </w:r>
      <w:r>
        <w:rPr>
          <w:sz w:val="21"/>
          <w:szCs w:val="21"/>
        </w:rPr>
        <w:t xml:space="preserve">plataforma Befine Store — tienda de comercio electrónico propia construida con HTML5, CSS3 y JavaScript (web mobile-first / PWA) con backend Supabase (PostgreSQL), que reemplaza a Shopify e integra landing page, panel de administración, fidelización por puntos, pago con Mercado Pago y facturación electrónica con OpenFactura.</w:t>
      </w:r>
    </w:p>
    <w:p>
      <w:pPr>
        <w:spacing w:after="120" w:line="274"/>
      </w:pPr>
      <w:r>
        <w:rPr>
          <w:b/>
          <w:bCs/>
          <w:sz w:val="21"/>
          <w:szCs w:val="21"/>
        </w:rPr>
        <w:t xml:space="preserve">Alcance del proyecto: </w:t>
      </w:r>
      <w:r>
        <w:rPr>
          <w:sz w:val="21"/>
          <w:szCs w:val="21"/>
        </w:rPr>
        <w:t xml:space="preserve">todo el trabajo necesario para entregar dicho producto — análisis, diseño, desarrollo por sprints, integración, pruebas, migración de datos desde Shopify, despliegue (Docker), documentación, capacitación y cierre.</w:t>
      </w:r>
    </w:p>
    <w:p>
      <w:pPr>
        <w:pStyle w:val="Heading2"/>
        <w:spacing w:after="80" w:before="190"/>
      </w:pPr>
      <w:r>
        <w:rPr>
          <w:b/>
          <w:bCs/>
          <w:color w:val="2E5496"/>
          <w:sz w:val="22"/>
          <w:szCs w:val="22"/>
        </w:rPr>
        <w:t xml:space="preserve">3. Enunciado del alcance — Entregables incluidos (MVP)</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Entregable</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Descripción / requerimientos</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Landing page (Módulo Cliente)</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Registro y login, catálogo con variantes, ficha, carrito, checkout con despacho por zona, pago Mercado Pago, facturación electrónica, notificaciones, historial, fidelización, contenido institucional, contacto y suscripción (RF-01 a RF-14).</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Panel de administración (Módulo Administrador)</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Dashboard con métricas, gestión de pedidos, catálogo e inventario, clientes y segmentos, descuentos, configuración de zonas/pagos/CMS, informes, importación/exportación CSV (RF-15 a RF-25).</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Fidelización</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Sistema de puntos por compra y descuentos por metas (RF-11).</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Integración de pagos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Mercado Pago en checkout, sin almacenar datos de tarjeta (RF-07, RNF-04).</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Emisión automática de boleta/factura vía API OpenFactura, validada en certificación SII (RF-08).</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Atributos no funcionales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Mobile-first, seguridad (RLS, HTTPS), Ley 21.719, rendimiento, disponibilidad en horario de operación, PWA, WCAG 2.1 AA, es-CL/CLP (RNF-01 a RNF-14).</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Migración y despliegue</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Migración desde Shopify; despliegue contenerizado con Docker.</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Documentación y capacitación</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Manual técnico, manual de usuario y capacitación al negocio.</w:t>
            </w:r>
          </w:p>
        </w:tc>
      </w:tr>
    </w:tbl>
    <w:p>
      <w:pPr>
        <w:pStyle w:val="Heading2"/>
        <w:spacing w:after="80" w:before="190"/>
      </w:pPr>
      <w:r>
        <w:rPr>
          <w:b/>
          <w:bCs/>
          <w:color w:val="2E5496"/>
          <w:sz w:val="22"/>
          <w:szCs w:val="22"/>
        </w:rPr>
        <w:t xml:space="preserve">4. Exclusiones (fuera de alcance)</w:t>
      </w:r>
    </w:p>
    <w:p>
      <w:pPr>
        <w:pStyle w:val="ListParagraph"/>
        <w:numPr>
          <w:ilvl w:val="0"/>
          <w:numId w:val="1"/>
        </w:numPr>
        <w:spacing w:after="60" w:line="270"/>
      </w:pPr>
      <w:r>
        <w:rPr>
          <w:b/>
          <w:bCs/>
          <w:sz w:val="21"/>
          <w:szCs w:val="21"/>
        </w:rPr>
        <w:t xml:space="preserve">Aplicación móvil nativa dedicada: </w:t>
      </w:r>
      <w:r>
        <w:rPr>
          <w:sz w:val="21"/>
          <w:szCs w:val="21"/>
        </w:rPr>
        <w:t xml:space="preserve">fuera del alcance de este proyecto de título; la cobertura móvil se entrega vía web responsiva / PWA. </w:t>
      </w:r>
      <w:r>
        <w:rPr>
          <w:i/>
          <w:iCs/>
          <w:color w:val="595959"/>
          <w:sz w:val="19"/>
          <w:szCs w:val="19"/>
        </w:rPr>
        <w:t xml:space="preserve">(Ajustado por SC-02.)</w:t>
      </w:r>
    </w:p>
    <w:p>
      <w:pPr>
        <w:pStyle w:val="ListParagraph"/>
        <w:numPr>
          <w:ilvl w:val="0"/>
          <w:numId w:val="1"/>
        </w:numPr>
        <w:spacing w:after="60" w:line="270"/>
      </w:pPr>
      <w:r>
        <w:rPr>
          <w:sz w:val="21"/>
          <w:szCs w:val="21"/>
        </w:rPr>
        <w:t xml:space="preserve">Soporte multi-tienda o multi-negocio; internacionalización, multi-idioma o multi-moneda (es-CL / CLP, RNF-14).</w:t>
      </w:r>
    </w:p>
    <w:p>
      <w:pPr>
        <w:pStyle w:val="ListParagraph"/>
        <w:numPr>
          <w:ilvl w:val="0"/>
          <w:numId w:val="1"/>
        </w:numPr>
        <w:spacing w:after="60" w:line="270"/>
      </w:pPr>
      <w:r>
        <w:rPr>
          <w:sz w:val="21"/>
          <w:szCs w:val="21"/>
        </w:rPr>
        <w:t xml:space="preserve">Medios de pago distintos de Mercado Pago como desarrollo obligatorio (RF-22, opcional).</w:t>
      </w:r>
    </w:p>
    <w:p>
      <w:pPr>
        <w:pStyle w:val="ListParagraph"/>
        <w:numPr>
          <w:ilvl w:val="0"/>
          <w:numId w:val="1"/>
        </w:numPr>
        <w:spacing w:after="60" w:line="270"/>
      </w:pPr>
      <w:r>
        <w:rPr>
          <w:sz w:val="21"/>
          <w:szCs w:val="21"/>
        </w:rPr>
        <w:t xml:space="preserve">Funcionalidades nuevas fuera del backlog priorizado del MVP: se gestionan como Solicitud de Cambio.</w:t>
      </w:r>
    </w:p>
    <w:p>
      <w:pPr>
        <w:pStyle w:val="Heading2"/>
        <w:spacing w:after="80" w:before="190"/>
      </w:pPr>
      <w:r>
        <w:rPr>
          <w:b/>
          <w:bCs/>
          <w:color w:val="2E5496"/>
          <w:sz w:val="22"/>
          <w:szCs w:val="22"/>
        </w:rPr>
        <w:t xml:space="preserve">5. Criterios de aceptación</w:t>
      </w:r>
    </w:p>
    <w:p>
      <w:pPr>
        <w:pStyle w:val="ListParagraph"/>
        <w:numPr>
          <w:ilvl w:val="0"/>
          <w:numId w:val="1"/>
        </w:numPr>
        <w:spacing w:after="60" w:line="270"/>
      </w:pPr>
      <w:r>
        <w:rPr>
          <w:sz w:val="21"/>
          <w:szCs w:val="21"/>
        </w:rPr>
        <w:t xml:space="preserve">Cada historia cumple sus criterios de aceptación antes de marcarse “Terminada” en la Sprint Review.</w:t>
      </w:r>
    </w:p>
    <w:p>
      <w:pPr>
        <w:pStyle w:val="ListParagraph"/>
        <w:numPr>
          <w:ilvl w:val="0"/>
          <w:numId w:val="1"/>
        </w:numPr>
        <w:spacing w:after="60" w:line="270"/>
      </w:pPr>
      <w:r>
        <w:rPr>
          <w:sz w:val="21"/>
          <w:szCs w:val="21"/>
        </w:rPr>
        <w:t xml:space="preserve">El MVP se acepta con landing y panel desplegados y operativos, pago con Mercado Pago en producción, emisión vía OpenFactura validada, y 100% de casos de prueba críticos aprobados antes del Go-Live.</w:t>
      </w:r>
    </w:p>
    <w:p>
      <w:pPr>
        <w:pStyle w:val="ListParagraph"/>
        <w:numPr>
          <w:ilvl w:val="0"/>
          <w:numId w:val="1"/>
        </w:numPr>
        <w:spacing w:after="60" w:line="270"/>
      </w:pPr>
      <w:r>
        <w:rPr>
          <w:sz w:val="21"/>
          <w:szCs w:val="21"/>
        </w:rPr>
        <w:t xml:space="preserve">Aceptación formal final tras la reunión de cierre y la presentación ante la comisión (12-dic-2026).</w:t>
      </w:r>
    </w:p>
    <w:p>
      <w:pPr>
        <w:pStyle w:val="Heading2"/>
        <w:spacing w:after="80" w:before="190"/>
      </w:pPr>
      <w:r>
        <w:rPr>
          <w:b/>
          <w:bCs/>
          <w:color w:val="2E5496"/>
          <w:sz w:val="22"/>
          <w:szCs w:val="22"/>
        </w:rPr>
        <w:t xml:space="preserve">6. Estructura de Desglose del Trabajo (EDT)</w:t>
      </w:r>
    </w:p>
    <w:p>
      <w:pPr>
        <w:spacing w:after="120" w:line="274"/>
      </w:pPr>
      <w:r>
        <w:rPr>
          <w:sz w:val="21"/>
          <w:szCs w:val="21"/>
        </w:rPr>
        <w:t xml:space="preserve">El alcance se descompone en 8 componentes de primer nivel. La EDT completa y su Diccionario se entregan en el Anexo A, que forma parte de la línea base del alcance.</w:t>
      </w:r>
    </w:p>
    <w:p>
      <w:pPr>
        <w:pStyle w:val="Heading2"/>
        <w:spacing w:after="80" w:before="190"/>
      </w:pPr>
      <w:r>
        <w:rPr>
          <w:b/>
          <w:bCs/>
          <w:color w:val="2E5496"/>
          <w:sz w:val="22"/>
          <w:szCs w:val="22"/>
        </w:rPr>
        <w:t xml:space="preserve">7. Validación y control del alcance</w:t>
      </w:r>
    </w:p>
    <w:p>
      <w:pPr>
        <w:spacing w:after="120" w:line="274"/>
      </w:pPr>
      <w:r>
        <w:rPr>
          <w:sz w:val="21"/>
          <w:szCs w:val="21"/>
        </w:rPr>
        <w:t xml:space="preserve">Validación incremental en cada Sprint Review con el patrocinador, y validación final en el Go-Live (21-nov-2026) y la entrega final (12-dic-2026). Prevención de scope creep: el alcance del MVP se congela al cierre de la Planificación (semana 6); toda ampliación se canaliza como Solicitud de Cambio indicando qué elemento del backlog se retira o posterga.</w:t>
      </w:r>
    </w:p>
    <w:p>
      <w:pPr>
        <w:pStyle w:val="Heading2"/>
        <w:spacing w:after="80" w:before="190"/>
      </w:pPr>
      <w:r>
        <w:rPr>
          <w:b/>
          <w:bCs/>
          <w:color w:val="2E5496"/>
          <w:sz w:val="22"/>
          <w:szCs w:val="22"/>
        </w:rPr>
        <w:t xml:space="preserve">8. Roles y responsabilidades sobre el alcance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Responsabilidad</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Patrocinador (Iván Rodríguez)</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Aprueba el enunciado de alcance y la EDT; valida entregables; autoriza cambios.</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Líder de sprint vigente</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Mantiene la EDT y el backlog; verifica correspondencia con el alcance aprobado.</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Equipo Grupo N3</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Ejecuta las historias; reporta desviaciones.</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Docente guía (Duoc UC)</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Evalúa el cumplimiento del alcance académico.</w:t>
            </w:r>
          </w:p>
        </w:tc>
      </w:tr>
    </w:tbl>
    <w:p>
      <w:pPr>
        <w:pStyle w:val="Heading1"/>
        <w:spacing w:after="100" w:before="250"/>
      </w:pPr>
      <w:r>
        <w:rPr>
          <w:b/>
          <w:bCs/>
          <w:color w:val="1F3864"/>
          <w:sz w:val="25"/>
          <w:szCs w:val="25"/>
        </w:rPr>
        <w:t xml:space="preserve">Plan de Gestión de Requerimientos</w:t>
      </w:r>
    </w:p>
    <w:p>
      <w:pPr>
        <w:pStyle w:val="Heading2"/>
        <w:spacing w:after="80" w:before="190"/>
      </w:pPr>
      <w:r>
        <w:rPr>
          <w:b/>
          <w:bCs/>
          <w:color w:val="2E5496"/>
          <w:sz w:val="22"/>
          <w:szCs w:val="22"/>
        </w:rPr>
        <w:t xml:space="preserve">1. Propósito</w:t>
      </w:r>
    </w:p>
    <w:p>
      <w:pPr>
        <w:spacing w:after="120" w:line="274"/>
      </w:pPr>
      <w:r>
        <w:rPr>
          <w:sz w:val="21"/>
          <w:szCs w:val="21"/>
        </w:rPr>
        <w:t xml:space="preserve">Define cómo se identifican, documentan, analizan, priorizan, trazan y controlan los requerimientos de Befine Store, reduciendo el riesgo de implementación en eficacia (construir lo solicitado) y eficiencia (estimar bien recursos y tiempo).</w:t>
      </w:r>
    </w:p>
    <w:p>
      <w:pPr>
        <w:pStyle w:val="Heading2"/>
        <w:spacing w:after="80" w:before="190"/>
      </w:pPr>
      <w:r>
        <w:rPr>
          <w:b/>
          <w:bCs/>
          <w:color w:val="2E5496"/>
          <w:sz w:val="22"/>
          <w:szCs w:val="22"/>
        </w:rPr>
        <w:t xml:space="preserve">2. Documento de requerimientos</w:t>
      </w:r>
    </w:p>
    <w:p>
      <w:pPr>
        <w:spacing w:after="120" w:line="274"/>
      </w:pPr>
      <w:r>
        <w:rPr>
          <w:sz w:val="21"/>
          <w:szCs w:val="21"/>
        </w:rPr>
        <w:t xml:space="preserve">El proyecto cuenta con un Documento de Especificación de Requerimientos con 25 RF (RF-01 a RF-25) como casos de uso y 14 RNF (RNF-01 a RNF-14) transversales.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0"/>
        <w:gridCol w:w="2600"/>
        <w:gridCol w:w="3960"/>
      </w:tblGrid>
      <w:tr>
        <w:trPr>
          <w:tblHeader/>
        </w:trPr>
        <w:tc>
          <w:tcPr>
            <w:tcW w:type="dxa" w:w="2800"/>
            <w:shd w:fill="1F3864" w:color="auto" w:val="clear"/>
            <w:tcMar>
              <w:top w:type="dxa" w:w="55"/>
              <w:left w:type="dxa" w:w="85"/>
              <w:bottom w:type="dxa" w:w="55"/>
              <w:right w:type="dxa" w:w="85"/>
            </w:tcMar>
          </w:tcPr>
          <w:p>
            <w:pPr>
              <w:spacing w:after="0" w:line="256"/>
            </w:pPr>
            <w:r>
              <w:rPr>
                <w:b/>
                <w:bCs/>
                <w:color w:val="FFFFFF"/>
                <w:sz w:val="19"/>
                <w:szCs w:val="19"/>
              </w:rPr>
              <w:t xml:space="preserve">Módulo / categoría</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Requerimientos</w:t>
            </w:r>
          </w:p>
        </w:tc>
        <w:tc>
          <w:tcPr>
            <w:tcW w:type="dxa" w:w="3960"/>
            <w:shd w:fill="1F3864" w:color="auto" w:val="clear"/>
            <w:tcMar>
              <w:top w:type="dxa" w:w="55"/>
              <w:left w:type="dxa" w:w="85"/>
              <w:bottom w:type="dxa" w:w="55"/>
              <w:right w:type="dxa" w:w="85"/>
            </w:tcMar>
          </w:tcPr>
          <w:p>
            <w:pPr>
              <w:spacing w:after="0" w:line="256"/>
            </w:pPr>
            <w:r>
              <w:rPr>
                <w:b/>
                <w:bCs/>
                <w:color w:val="FFFFFF"/>
                <w:sz w:val="19"/>
                <w:szCs w:val="19"/>
              </w:rPr>
              <w:t xml:space="preserve">Ejemplos</w:t>
            </w:r>
          </w:p>
        </w:tc>
      </w:tr>
      <w:tr>
        <w:tc>
          <w:tcPr>
            <w:tcW w:type="dxa" w:w="2800"/>
            <w:shd w:fill="FFFFFF" w:color="auto" w:val="clear"/>
            <w:tcMar>
              <w:top w:type="dxa" w:w="55"/>
              <w:left w:type="dxa" w:w="85"/>
              <w:bottom w:type="dxa" w:w="55"/>
              <w:right w:type="dxa" w:w="85"/>
            </w:tcMar>
          </w:tcPr>
          <w:p>
            <w:pPr>
              <w:spacing w:after="0" w:line="256"/>
            </w:pPr>
            <w:r>
              <w:rPr>
                <w:color w:val="000000"/>
                <w:sz w:val="19"/>
                <w:szCs w:val="19"/>
              </w:rPr>
              <w:t xml:space="preserve">Cliente (Landing/Tienda)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RF-01 a RF-14</w:t>
            </w:r>
          </w:p>
        </w:tc>
        <w:tc>
          <w:tcPr>
            <w:tcW w:type="dxa" w:w="3960"/>
            <w:shd w:fill="FFFFFF" w:color="auto" w:val="clear"/>
            <w:tcMar>
              <w:top w:type="dxa" w:w="55"/>
              <w:left w:type="dxa" w:w="85"/>
              <w:bottom w:type="dxa" w:w="55"/>
              <w:right w:type="dxa" w:w="85"/>
            </w:tcMar>
          </w:tcPr>
          <w:p>
            <w:pPr>
              <w:spacing w:after="0" w:line="256"/>
            </w:pPr>
            <w:r>
              <w:rPr>
                <w:color w:val="000000"/>
                <w:sz w:val="19"/>
                <w:szCs w:val="19"/>
              </w:rPr>
              <w:t xml:space="preserve">Registro, login, catálogo, carrito, checkout, pago, facturación, fidelización</w:t>
            </w:r>
          </w:p>
        </w:tc>
      </w:tr>
      <w:tr>
        <w:tc>
          <w:tcPr>
            <w:tcW w:type="dxa" w:w="2800"/>
            <w:shd w:fill="F2F5FB" w:color="auto" w:val="clear"/>
            <w:tcMar>
              <w:top w:type="dxa" w:w="55"/>
              <w:left w:type="dxa" w:w="85"/>
              <w:bottom w:type="dxa" w:w="55"/>
              <w:right w:type="dxa" w:w="85"/>
            </w:tcMar>
          </w:tcPr>
          <w:p>
            <w:pPr>
              <w:spacing w:after="0" w:line="256"/>
            </w:pPr>
            <w:r>
              <w:rPr>
                <w:color w:val="000000"/>
                <w:sz w:val="19"/>
                <w:szCs w:val="19"/>
              </w:rPr>
              <w:t xml:space="preserve">Administrador (Panel)</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RF-15 a RF-25</w:t>
            </w:r>
          </w:p>
        </w:tc>
        <w:tc>
          <w:tcPr>
            <w:tcW w:type="dxa" w:w="3960"/>
            <w:shd w:fill="F2F5FB" w:color="auto" w:val="clear"/>
            <w:tcMar>
              <w:top w:type="dxa" w:w="55"/>
              <w:left w:type="dxa" w:w="85"/>
              <w:bottom w:type="dxa" w:w="55"/>
              <w:right w:type="dxa" w:w="85"/>
            </w:tcMar>
          </w:tcPr>
          <w:p>
            <w:pPr>
              <w:spacing w:after="0" w:line="256"/>
            </w:pPr>
            <w:r>
              <w:rPr>
                <w:color w:val="000000"/>
                <w:sz w:val="19"/>
                <w:szCs w:val="19"/>
              </w:rPr>
              <w:t xml:space="preserve">Dashboard, pedidos, catálogo, inventario, clientes, descuentos, informes</w:t>
            </w:r>
          </w:p>
        </w:tc>
      </w:tr>
      <w:tr>
        <w:tc>
          <w:tcPr>
            <w:tcW w:type="dxa" w:w="2800"/>
            <w:shd w:fill="FFFFFF" w:color="auto" w:val="clear"/>
            <w:tcMar>
              <w:top w:type="dxa" w:w="55"/>
              <w:left w:type="dxa" w:w="85"/>
              <w:bottom w:type="dxa" w:w="55"/>
              <w:right w:type="dxa" w:w="85"/>
            </w:tcMar>
          </w:tcPr>
          <w:p>
            <w:pPr>
              <w:spacing w:after="0" w:line="256"/>
            </w:pPr>
            <w:r>
              <w:rPr>
                <w:color w:val="000000"/>
                <w:sz w:val="19"/>
                <w:szCs w:val="19"/>
              </w:rPr>
              <w:t xml:space="preserve">No funcionales</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RNF-01 a RNF-14</w:t>
            </w:r>
          </w:p>
        </w:tc>
        <w:tc>
          <w:tcPr>
            <w:tcW w:type="dxa" w:w="3960"/>
            <w:shd w:fill="FFFFFF" w:color="auto" w:val="clear"/>
            <w:tcMar>
              <w:top w:type="dxa" w:w="55"/>
              <w:left w:type="dxa" w:w="85"/>
              <w:bottom w:type="dxa" w:w="55"/>
              <w:right w:type="dxa" w:w="85"/>
            </w:tcMar>
          </w:tcPr>
          <w:p>
            <w:pPr>
              <w:spacing w:after="0" w:line="256"/>
            </w:pPr>
            <w:r>
              <w:rPr>
                <w:color w:val="000000"/>
                <w:sz w:val="19"/>
                <w:szCs w:val="19"/>
              </w:rPr>
              <w:t xml:space="preserve">Mobile-first, seguridad/RLS, Ley 21.719, rendimiento, disponibilidad, PWA, SEO, es-CL</w:t>
            </w:r>
          </w:p>
        </w:tc>
      </w:tr>
    </w:tbl>
    <w:p>
      <w:pPr>
        <w:pStyle w:val="Heading2"/>
        <w:spacing w:after="80" w:before="190"/>
      </w:pPr>
      <w:r>
        <w:rPr>
          <w:b/>
          <w:bCs/>
          <w:color w:val="2E5496"/>
          <w:sz w:val="22"/>
          <w:szCs w:val="22"/>
        </w:rPr>
        <w:t xml:space="preserve">3. Proceso de gestión de requerimientos</w:t>
      </w:r>
    </w:p>
    <w:p>
      <w:pPr>
        <w:spacing w:after="120" w:line="274"/>
      </w:pPr>
      <w:r>
        <w:rPr>
          <w:sz w:val="21"/>
          <w:szCs w:val="21"/>
        </w:rPr>
        <w:t xml:space="preserve">Descubrir, clasificar/organizar (agrupar por módulo y priorizar) y especificar. Cada requerimiento se expresa como historia de usuario con criterios de aceptación en el backlog de GitHub Projects.</w:t>
      </w:r>
    </w:p>
    <w:p>
      <w:pPr>
        <w:pStyle w:val="Heading2"/>
        <w:spacing w:after="80" w:before="190"/>
      </w:pPr>
      <w:r>
        <w:rPr>
          <w:b/>
          <w:bCs/>
          <w:color w:val="2E5496"/>
          <w:sz w:val="22"/>
          <w:szCs w:val="22"/>
        </w:rPr>
        <w:t xml:space="preserve">4. Priorización</w:t>
      </w:r>
    </w:p>
    <w:p>
      <w:pPr>
        <w:pStyle w:val="ListParagraph"/>
        <w:numPr>
          <w:ilvl w:val="0"/>
          <w:numId w:val="1"/>
        </w:numPr>
        <w:spacing w:after="60" w:line="270"/>
      </w:pPr>
      <w:r>
        <w:rPr>
          <w:b/>
          <w:bCs/>
          <w:sz w:val="21"/>
          <w:szCs w:val="21"/>
        </w:rPr>
        <w:t xml:space="preserve">Prioridad 1 (bloqueante MVP): </w:t>
      </w:r>
      <w:r>
        <w:rPr>
          <w:sz w:val="21"/>
          <w:szCs w:val="21"/>
        </w:rPr>
        <w:t xml:space="preserve">autenticación (RF-01, RF-02), catálogo (RF-03, RF-04), carrito (RF-05), checkout con despacho por zona (RF-06), Mercado Pago (RF-07), gestión de pedidos (RF-16).</w:t>
      </w:r>
    </w:p>
    <w:p>
      <w:pPr>
        <w:pStyle w:val="ListParagraph"/>
        <w:numPr>
          <w:ilvl w:val="0"/>
          <w:numId w:val="1"/>
        </w:numPr>
        <w:spacing w:after="60" w:line="270"/>
      </w:pPr>
      <w:r>
        <w:rPr>
          <w:b/>
          <w:bCs/>
          <w:sz w:val="21"/>
          <w:szCs w:val="21"/>
        </w:rPr>
        <w:t xml:space="preserve">Prioridad 2 (MVP core): </w:t>
      </w:r>
      <w:r>
        <w:rPr>
          <w:sz w:val="21"/>
          <w:szCs w:val="21"/>
        </w:rPr>
        <w:t xml:space="preserve">facturación OpenFactura (RF-08), configuración de zonas de despacho (RF-21), clientes/descuentos (RF-19, RF-20), catálogo/inventario admin (RF-17, RF-18), informes (RF-24). </w:t>
      </w:r>
      <w:r>
        <w:rPr>
          <w:i/>
          <w:iCs/>
          <w:color w:val="595959"/>
          <w:sz w:val="19"/>
          <w:szCs w:val="19"/>
        </w:rPr>
        <w:t xml:space="preserve">(Corregido: RF-06 pertenece a Prioridad 1; aquí corresponde RF-21.)</w:t>
      </w:r>
    </w:p>
    <w:p>
      <w:pPr>
        <w:pStyle w:val="ListParagraph"/>
        <w:numPr>
          <w:ilvl w:val="0"/>
          <w:numId w:val="1"/>
        </w:numPr>
        <w:spacing w:after="60" w:line="270"/>
      </w:pPr>
      <w:r>
        <w:rPr>
          <w:b/>
          <w:bCs/>
          <w:sz w:val="21"/>
          <w:szCs w:val="21"/>
        </w:rPr>
        <w:t xml:space="preserve">Prioridad 3 (valor agregado MVP): </w:t>
      </w:r>
      <w:r>
        <w:rPr>
          <w:sz w:val="21"/>
          <w:szCs w:val="21"/>
        </w:rPr>
        <w:t xml:space="preserve">fidelización (RF-11), notificaciones (RF-09), contenido/CMS (RF-12, RF-23), importación/exportación (RF-25).</w:t>
      </w:r>
    </w:p>
    <w:p>
      <w:pPr>
        <w:pStyle w:val="ListParagraph"/>
        <w:numPr>
          <w:ilvl w:val="0"/>
          <w:numId w:val="1"/>
        </w:numPr>
        <w:spacing w:after="60" w:line="270"/>
      </w:pPr>
      <w:r>
        <w:rPr>
          <w:b/>
          <w:bCs/>
          <w:sz w:val="21"/>
          <w:szCs w:val="21"/>
        </w:rPr>
        <w:t xml:space="preserve">No funcionales: </w:t>
      </w:r>
      <w:r>
        <w:rPr>
          <w:sz w:val="21"/>
          <w:szCs w:val="21"/>
        </w:rPr>
        <w:t xml:space="preserve">transversales, verificados en todos los sprints.</w:t>
      </w:r>
    </w:p>
    <w:p>
      <w:pPr>
        <w:pStyle w:val="Heading2"/>
        <w:spacing w:after="80" w:before="190"/>
      </w:pPr>
      <w:r>
        <w:rPr>
          <w:b/>
          <w:bCs/>
          <w:color w:val="2E5496"/>
          <w:sz w:val="22"/>
          <w:szCs w:val="22"/>
        </w:rPr>
        <w:t xml:space="preserve">5. Matriz de trazabilidad de requerimientos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100"/>
        <w:gridCol w:w="2600"/>
        <w:gridCol w:w="1400"/>
        <w:gridCol w:w="1500"/>
        <w:gridCol w:w="2760"/>
      </w:tblGrid>
      <w:tr>
        <w:trPr>
          <w:tblHeader/>
        </w:trPr>
        <w:tc>
          <w:tcPr>
            <w:tcW w:type="dxa" w:w="1100"/>
            <w:shd w:fill="1F3864" w:color="auto" w:val="clear"/>
            <w:tcMar>
              <w:top w:type="dxa" w:w="55"/>
              <w:left w:type="dxa" w:w="85"/>
              <w:bottom w:type="dxa" w:w="55"/>
              <w:right w:type="dxa" w:w="85"/>
            </w:tcMar>
          </w:tcPr>
          <w:p>
            <w:pPr>
              <w:spacing w:after="0" w:line="256"/>
            </w:pPr>
            <w:r>
              <w:rPr>
                <w:b/>
                <w:bCs/>
                <w:color w:val="FFFFFF"/>
                <w:sz w:val="19"/>
                <w:szCs w:val="19"/>
              </w:rPr>
              <w:t xml:space="preserve">ID</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Requerimiento</w:t>
            </w:r>
          </w:p>
        </w:tc>
        <w:tc>
          <w:tcPr>
            <w:tcW w:type="dxa" w:w="1400"/>
            <w:shd w:fill="1F3864" w:color="auto" w:val="clear"/>
            <w:tcMar>
              <w:top w:type="dxa" w:w="55"/>
              <w:left w:type="dxa" w:w="85"/>
              <w:bottom w:type="dxa" w:w="55"/>
              <w:right w:type="dxa" w:w="85"/>
            </w:tcMar>
          </w:tcPr>
          <w:p>
            <w:pPr>
              <w:spacing w:after="0" w:line="256"/>
            </w:pPr>
            <w:r>
              <w:rPr>
                <w:b/>
                <w:bCs/>
                <w:color w:val="FFFFFF"/>
                <w:sz w:val="19"/>
                <w:szCs w:val="19"/>
              </w:rPr>
              <w:t xml:space="preserve">Componente EDT</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Sprint</w:t>
            </w:r>
          </w:p>
        </w:tc>
        <w:tc>
          <w:tcPr>
            <w:tcW w:type="dxa" w:w="2760"/>
            <w:shd w:fill="1F3864" w:color="auto" w:val="clear"/>
            <w:tcMar>
              <w:top w:type="dxa" w:w="55"/>
              <w:left w:type="dxa" w:w="85"/>
              <w:bottom w:type="dxa" w:w="55"/>
              <w:right w:type="dxa" w:w="85"/>
            </w:tcMar>
          </w:tcPr>
          <w:p>
            <w:pPr>
              <w:spacing w:after="0" w:line="256"/>
            </w:pPr>
            <w:r>
              <w:rPr>
                <w:b/>
                <w:bCs/>
                <w:color w:val="FFFFFF"/>
                <w:sz w:val="19"/>
                <w:szCs w:val="19"/>
              </w:rPr>
              <w:t xml:space="preserve">Evidencia de prueba</w:t>
            </w:r>
          </w:p>
        </w:tc>
      </w:tr>
      <w:tr>
        <w:tc>
          <w:tcPr>
            <w:tcW w:type="dxa" w:w="1100"/>
            <w:shd w:fill="FFFFFF" w:color="auto" w:val="clear"/>
            <w:tcMar>
              <w:top w:type="dxa" w:w="55"/>
              <w:left w:type="dxa" w:w="85"/>
              <w:bottom w:type="dxa" w:w="55"/>
              <w:right w:type="dxa" w:w="85"/>
            </w:tcMar>
          </w:tcPr>
          <w:p>
            <w:pPr>
              <w:spacing w:after="0" w:line="256"/>
            </w:pPr>
            <w:r>
              <w:rPr>
                <w:color w:val="000000"/>
                <w:sz w:val="19"/>
                <w:szCs w:val="19"/>
              </w:rPr>
              <w:t xml:space="preserve">RF-07</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Pago en línea con Mercado Pago</w:t>
            </w:r>
          </w:p>
        </w:tc>
        <w:tc>
          <w:tcPr>
            <w:tcW w:type="dxa" w:w="1400"/>
            <w:shd w:fill="FFFFFF" w:color="auto" w:val="clear"/>
            <w:tcMar>
              <w:top w:type="dxa" w:w="55"/>
              <w:left w:type="dxa" w:w="85"/>
              <w:bottom w:type="dxa" w:w="55"/>
              <w:right w:type="dxa" w:w="85"/>
            </w:tcMar>
          </w:tcPr>
          <w:p>
            <w:pPr>
              <w:spacing w:after="0" w:line="256"/>
            </w:pPr>
            <w:r>
              <w:rPr>
                <w:color w:val="000000"/>
                <w:sz w:val="19"/>
                <w:szCs w:val="19"/>
              </w:rPr>
              <w:t xml:space="preserve">3.4</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S3-S4</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Caso de prueba sandbox MP</w:t>
            </w:r>
          </w:p>
        </w:tc>
      </w:tr>
      <w:tr>
        <w:tc>
          <w:tcPr>
            <w:tcW w:type="dxa" w:w="1100"/>
            <w:shd w:fill="F2F5FB" w:color="auto" w:val="clear"/>
            <w:tcMar>
              <w:top w:type="dxa" w:w="55"/>
              <w:left w:type="dxa" w:w="85"/>
              <w:bottom w:type="dxa" w:w="55"/>
              <w:right w:type="dxa" w:w="85"/>
            </w:tcMar>
          </w:tcPr>
          <w:p>
            <w:pPr>
              <w:spacing w:after="0" w:line="256"/>
            </w:pPr>
            <w:r>
              <w:rPr>
                <w:color w:val="000000"/>
                <w:sz w:val="19"/>
                <w:szCs w:val="19"/>
              </w:rPr>
              <w:t xml:space="preserve">RF-08</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Emisión de DTE (OpenFactura)</w:t>
            </w:r>
          </w:p>
        </w:tc>
        <w:tc>
          <w:tcPr>
            <w:tcW w:type="dxa" w:w="1400"/>
            <w:shd w:fill="F2F5FB" w:color="auto" w:val="clear"/>
            <w:tcMar>
              <w:top w:type="dxa" w:w="55"/>
              <w:left w:type="dxa" w:w="85"/>
              <w:bottom w:type="dxa" w:w="55"/>
              <w:right w:type="dxa" w:w="85"/>
            </w:tcMar>
          </w:tcPr>
          <w:p>
            <w:pPr>
              <w:spacing w:after="0" w:line="256"/>
            </w:pPr>
            <w:r>
              <w:rPr>
                <w:color w:val="000000"/>
                <w:sz w:val="19"/>
                <w:szCs w:val="19"/>
              </w:rPr>
              <w:t xml:space="preserve">3.5</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S3-S4</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Certificación SII</w:t>
            </w:r>
          </w:p>
        </w:tc>
      </w:tr>
      <w:tr>
        <w:tc>
          <w:tcPr>
            <w:tcW w:type="dxa" w:w="1100"/>
            <w:shd w:fill="FFFFFF" w:color="auto" w:val="clear"/>
            <w:tcMar>
              <w:top w:type="dxa" w:w="55"/>
              <w:left w:type="dxa" w:w="85"/>
              <w:bottom w:type="dxa" w:w="55"/>
              <w:right w:type="dxa" w:w="85"/>
            </w:tcMar>
          </w:tcPr>
          <w:p>
            <w:pPr>
              <w:spacing w:after="0" w:line="256"/>
            </w:pPr>
            <w:r>
              <w:rPr>
                <w:color w:val="000000"/>
                <w:sz w:val="19"/>
                <w:szCs w:val="19"/>
              </w:rPr>
              <w:t xml:space="preserve">RF-11</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Fidelización por puntos</w:t>
            </w:r>
          </w:p>
        </w:tc>
        <w:tc>
          <w:tcPr>
            <w:tcW w:type="dxa" w:w="1400"/>
            <w:shd w:fill="FFFFFF" w:color="auto" w:val="clear"/>
            <w:tcMar>
              <w:top w:type="dxa" w:w="55"/>
              <w:left w:type="dxa" w:w="85"/>
              <w:bottom w:type="dxa" w:w="55"/>
              <w:right w:type="dxa" w:w="85"/>
            </w:tcMar>
          </w:tcPr>
          <w:p>
            <w:pPr>
              <w:spacing w:after="0" w:line="256"/>
            </w:pPr>
            <w:r>
              <w:rPr>
                <w:color w:val="000000"/>
                <w:sz w:val="19"/>
                <w:szCs w:val="19"/>
              </w:rPr>
              <w:t xml:space="preserve">3.7</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S4</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Prueba unitaria cálculo puntos</w:t>
            </w:r>
          </w:p>
        </w:tc>
      </w:tr>
      <w:tr>
        <w:tc>
          <w:tcPr>
            <w:tcW w:type="dxa" w:w="1100"/>
            <w:shd w:fill="F2F5FB" w:color="auto" w:val="clear"/>
            <w:tcMar>
              <w:top w:type="dxa" w:w="55"/>
              <w:left w:type="dxa" w:w="85"/>
              <w:bottom w:type="dxa" w:w="55"/>
              <w:right w:type="dxa" w:w="85"/>
            </w:tcMar>
          </w:tcPr>
          <w:p>
            <w:pPr>
              <w:spacing w:after="0" w:line="256"/>
            </w:pPr>
            <w:r>
              <w:rPr>
                <w:color w:val="000000"/>
                <w:sz w:val="19"/>
                <w:szCs w:val="19"/>
              </w:rPr>
              <w:t xml:space="preserve">…</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w:t>
            </w:r>
          </w:p>
        </w:tc>
        <w:tc>
          <w:tcPr>
            <w:tcW w:type="dxa" w:w="1400"/>
            <w:shd w:fill="F2F5FB" w:color="auto" w:val="clear"/>
            <w:tcMar>
              <w:top w:type="dxa" w:w="55"/>
              <w:left w:type="dxa" w:w="85"/>
              <w:bottom w:type="dxa" w:w="55"/>
              <w:right w:type="dxa" w:w="85"/>
            </w:tcMar>
          </w:tcPr>
          <w:p>
            <w:pPr>
              <w:spacing w:after="0" w:line="256"/>
            </w:pPr>
            <w:r>
              <w:rPr>
                <w:color w:val="000000"/>
                <w:sz w:val="19"/>
                <w:szCs w:val="19"/>
              </w:rPr>
              <w:t xml:space="preserve">…</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w:t>
            </w:r>
          </w:p>
        </w:tc>
      </w:tr>
    </w:tbl>
    <w:p>
      <w:pPr>
        <w:spacing w:after="120" w:line="274"/>
      </w:pPr>
      <w:r>
        <w:rPr>
          <w:i/>
          <w:iCs/>
          <w:color w:val="595959"/>
          <w:sz w:val="19"/>
          <w:szCs w:val="19"/>
        </w:rPr>
        <w:t xml:space="preserve">La matriz completa (39 requerimientos) se mantiene en GitHub Projects vinculada a cada historia de usuario.</w:t>
      </w:r>
    </w:p>
    <w:p>
      <w:pPr>
        <w:pStyle w:val="Heading2"/>
        <w:spacing w:after="80" w:before="190"/>
      </w:pPr>
      <w:r>
        <w:rPr>
          <w:b/>
          <w:bCs/>
          <w:color w:val="2E5496"/>
          <w:sz w:val="22"/>
          <w:szCs w:val="22"/>
        </w:rPr>
        <w:t xml:space="preserve">6. Control de cambios de requerimientos</w:t>
      </w:r>
    </w:p>
    <w:p>
      <w:pPr>
        <w:spacing w:after="120" w:line="274"/>
      </w:pPr>
      <w:r>
        <w:rPr>
          <w:sz w:val="21"/>
          <w:szCs w:val="21"/>
        </w:rPr>
        <w:t xml:space="preserve">Todo requisito nuevo o modificado tras el cierre del backlog del MVP (semana 6) se gestiona como Solicitud de Cambio, evaluando su impacto en el cronograma fijo antes de incorporarlo.</w:t>
      </w:r>
    </w:p>
    <w:p>
      <w:pPr>
        <w:pStyle w:val="Heading2"/>
        <w:spacing w:after="80" w:before="190"/>
      </w:pPr>
      <w:r>
        <w:rPr>
          <w:b/>
          <w:bCs/>
          <w:color w:val="2E5496"/>
          <w:sz w:val="22"/>
          <w:szCs w:val="22"/>
        </w:rPr>
        <w:t xml:space="preserve">7. Roles y responsabilidades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Responsabilidad</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Provee y valida las reglas de negocio; aprueba requisitos antes de su desarrollo.</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Modela requisitos de datos e informes; mantiene la matriz de trazabilidad.</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Traduce requisitos en flujos de interfaz mobile-first (Figma).</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Líder de sprint vigente</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Verifica que las historias correspondan a requisitos aprobados.</w:t>
            </w:r>
          </w:p>
        </w:tc>
      </w:tr>
    </w:tbl>
    <w:p>
      <w:pPr>
        <w:pStyle w:val="Heading1"/>
        <w:spacing w:after="100" w:before="250"/>
      </w:pPr>
      <w:r>
        <w:rPr>
          <w:b/>
          <w:bCs/>
          <w:color w:val="1F3864"/>
          <w:sz w:val="25"/>
          <w:szCs w:val="25"/>
        </w:rPr>
        <w:t xml:space="preserve">Plan de Gestión del Cronograma</w:t>
      </w:r>
    </w:p>
    <w:p>
      <w:pPr>
        <w:pStyle w:val="Heading2"/>
        <w:spacing w:after="80" w:before="190"/>
      </w:pPr>
      <w:r>
        <w:rPr>
          <w:b/>
          <w:bCs/>
          <w:color w:val="2E5496"/>
          <w:sz w:val="22"/>
          <w:szCs w:val="22"/>
        </w:rPr>
        <w:t xml:space="preserve">1. Propósito y metodología de programación</w:t>
      </w:r>
    </w:p>
    <w:p>
      <w:pPr>
        <w:spacing w:after="120" w:line="274"/>
      </w:pPr>
      <w:r>
        <w:rPr>
          <w:sz w:val="21"/>
          <w:szCs w:val="21"/>
        </w:rPr>
        <w:t xml:space="preserve">Define cómo se desarrolla, ejecuta y controla el cronograma bajo una restricción dura: 18 semanas (10-ago al 12-dic-2026), sin extensión. Metodología híbrida PMBOK + Scrum; la Ejecución en sprints de 2 semanas. Se gestiona en MS Project (línea base) y GitHub Projects (Kanban).</w:t>
      </w:r>
    </w:p>
    <w:p>
      <w:pPr>
        <w:pStyle w:val="Heading2"/>
        <w:spacing w:after="80" w:before="190"/>
      </w:pPr>
      <w:r>
        <w:rPr>
          <w:b/>
          <w:bCs/>
          <w:color w:val="2E5496"/>
          <w:sz w:val="22"/>
          <w:szCs w:val="22"/>
        </w:rPr>
        <w:t xml:space="preserve">2. Fases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2000"/>
        <w:gridCol w:w="4960"/>
      </w:tblGrid>
      <w:tr>
        <w:trPr>
          <w:tblHeader/>
        </w:trPr>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Fase</w:t>
            </w:r>
          </w:p>
        </w:tc>
        <w:tc>
          <w:tcPr>
            <w:tcW w:type="dxa" w:w="2000"/>
            <w:shd w:fill="1F3864" w:color="auto" w:val="clear"/>
            <w:tcMar>
              <w:top w:type="dxa" w:w="55"/>
              <w:left w:type="dxa" w:w="85"/>
              <w:bottom w:type="dxa" w:w="55"/>
              <w:right w:type="dxa" w:w="85"/>
            </w:tcMar>
          </w:tcPr>
          <w:p>
            <w:pPr>
              <w:spacing w:after="0" w:line="256"/>
            </w:pPr>
            <w:r>
              <w:rPr>
                <w:b/>
                <w:bCs/>
                <w:color w:val="FFFFFF"/>
                <w:sz w:val="19"/>
                <w:szCs w:val="19"/>
              </w:rPr>
              <w:t xml:space="preserve">Duración</w:t>
            </w:r>
          </w:p>
        </w:tc>
        <w:tc>
          <w:tcPr>
            <w:tcW w:type="dxa" w:w="4960"/>
            <w:shd w:fill="1F3864" w:color="auto" w:val="clear"/>
            <w:tcMar>
              <w:top w:type="dxa" w:w="55"/>
              <w:left w:type="dxa" w:w="85"/>
              <w:bottom w:type="dxa" w:w="55"/>
              <w:right w:type="dxa" w:w="85"/>
            </w:tcMar>
          </w:tcPr>
          <w:p>
            <w:pPr>
              <w:spacing w:after="0" w:line="256"/>
            </w:pPr>
            <w:r>
              <w:rPr>
                <w:b/>
                <w:bCs/>
                <w:color w:val="FFFFFF"/>
                <w:sz w:val="19"/>
                <w:szCs w:val="19"/>
              </w:rPr>
              <w:t xml:space="preserve">Contenido</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1. Inicio</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10-21 ago</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Acta de Constitución, interesados, aprobación de inicio.</w:t>
            </w:r>
          </w:p>
        </w:tc>
      </w:tr>
      <w:tr>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2. Planificación</w:t>
            </w:r>
          </w:p>
        </w:tc>
        <w:tc>
          <w:tcPr>
            <w:tcW w:type="dxa" w:w="2000"/>
            <w:shd w:fill="F2F5FB" w:color="auto" w:val="clear"/>
            <w:tcMar>
              <w:top w:type="dxa" w:w="55"/>
              <w:left w:type="dxa" w:w="85"/>
              <w:bottom w:type="dxa" w:w="55"/>
              <w:right w:type="dxa" w:w="85"/>
            </w:tcMar>
          </w:tcPr>
          <w:p>
            <w:pPr>
              <w:spacing w:after="0" w:line="256"/>
            </w:pPr>
            <w:r>
              <w:rPr>
                <w:color w:val="000000"/>
                <w:sz w:val="19"/>
                <w:szCs w:val="19"/>
              </w:rPr>
              <w:t xml:space="preserve">24 ago-18 sep</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Kick-off, 12 planes y Plan de Dirección; diseño técnico en paralelo.</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3. Ejecución</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21 sep-20 nov</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Sprints, documentación, capacitación y puesta en marcha.</w:t>
            </w:r>
          </w:p>
        </w:tc>
      </w:tr>
      <w:tr>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4. Monitoreo y control</w:t>
            </w:r>
          </w:p>
        </w:tc>
        <w:tc>
          <w:tcPr>
            <w:tcW w:type="dxa" w:w="2000"/>
            <w:shd w:fill="F2F5FB" w:color="auto" w:val="clear"/>
            <w:tcMar>
              <w:top w:type="dxa" w:w="55"/>
              <w:left w:type="dxa" w:w="85"/>
              <w:bottom w:type="dxa" w:w="55"/>
              <w:right w:type="dxa" w:w="85"/>
            </w:tcMar>
          </w:tcPr>
          <w:p>
            <w:pPr>
              <w:spacing w:after="0" w:line="256"/>
            </w:pPr>
            <w:r>
              <w:rPr>
                <w:color w:val="000000"/>
                <w:sz w:val="19"/>
                <w:szCs w:val="19"/>
              </w:rPr>
              <w:t xml:space="preserve">21 sep-20 nov (transversal)</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Control de líneas base, calidad, riesgos, cambios y configuración.</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5. Cierre</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16-27 nov + defensa dic</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Cierre de líneas base, entrega final, lecciones y presentación.</w:t>
            </w:r>
          </w:p>
        </w:tc>
      </w:tr>
    </w:tbl>
    <w:p>
      <w:pPr>
        <w:pStyle w:val="Heading2"/>
        <w:spacing w:after="80" w:before="190"/>
      </w:pPr>
      <w:r>
        <w:rPr>
          <w:b/>
          <w:bCs/>
          <w:color w:val="2E5496"/>
          <w:sz w:val="22"/>
          <w:szCs w:val="22"/>
        </w:rPr>
        <w:t xml:space="preserve">3. Cronograma detallado (línea base MS Project)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560"/>
        <w:gridCol w:w="2600"/>
        <w:gridCol w:w="2200"/>
      </w:tblGrid>
      <w:tr>
        <w:trPr>
          <w:tblHeader/>
        </w:trPr>
        <w:tc>
          <w:tcPr>
            <w:tcW w:type="dxa" w:w="4560"/>
            <w:shd w:fill="1F3864" w:color="auto" w:val="clear"/>
            <w:tcMar>
              <w:top w:type="dxa" w:w="55"/>
              <w:left w:type="dxa" w:w="85"/>
              <w:bottom w:type="dxa" w:w="55"/>
              <w:right w:type="dxa" w:w="85"/>
            </w:tcMar>
          </w:tcPr>
          <w:p>
            <w:pPr>
              <w:spacing w:after="0" w:line="256"/>
            </w:pPr>
            <w:r>
              <w:rPr>
                <w:b/>
                <w:bCs/>
                <w:color w:val="FFFFFF"/>
                <w:sz w:val="19"/>
                <w:szCs w:val="19"/>
              </w:rPr>
              <w:t xml:space="preserve">Tarea</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Fechas</w:t>
            </w:r>
          </w:p>
        </w:tc>
        <w:tc>
          <w:tcPr>
            <w:tcW w:type="dxa" w:w="2200"/>
            <w:shd w:fill="1F3864" w:color="auto" w:val="clear"/>
            <w:tcMar>
              <w:top w:type="dxa" w:w="55"/>
              <w:left w:type="dxa" w:w="85"/>
              <w:bottom w:type="dxa" w:w="55"/>
              <w:right w:type="dxa" w:w="85"/>
            </w:tcMar>
          </w:tcPr>
          <w:p>
            <w:pPr>
              <w:spacing w:after="0" w:line="256"/>
            </w:pPr>
            <w:r>
              <w:rPr>
                <w:b/>
                <w:bCs/>
                <w:color w:val="FFFFFF"/>
                <w:sz w:val="19"/>
                <w:szCs w:val="19"/>
              </w:rPr>
              <w:t xml:space="preserve">Responsable</w:t>
            </w:r>
          </w:p>
        </w:tc>
      </w:tr>
      <w:tr>
        <w:tc>
          <w:tcPr>
            <w:tcW w:type="dxa" w:w="4560"/>
            <w:shd w:fill="FFFFFF" w:color="auto" w:val="clear"/>
            <w:tcMar>
              <w:top w:type="dxa" w:w="55"/>
              <w:left w:type="dxa" w:w="85"/>
              <w:bottom w:type="dxa" w:w="55"/>
              <w:right w:type="dxa" w:w="85"/>
            </w:tcMar>
          </w:tcPr>
          <w:p>
            <w:pPr>
              <w:spacing w:after="0" w:line="256"/>
            </w:pPr>
            <w:r>
              <w:rPr>
                <w:b/>
                <w:bCs/>
                <w:color w:val="000000"/>
                <w:sz w:val="19"/>
                <w:szCs w:val="19"/>
              </w:rPr>
              <w:t xml:space="preserve">FASE 1 — INICIO</w:t>
            </w:r>
          </w:p>
        </w:tc>
        <w:tc>
          <w:tcPr>
            <w:tcW w:type="dxa" w:w="2600"/>
            <w:shd w:fill="FFFFFF" w:color="auto" w:val="clear"/>
            <w:tcMar>
              <w:top w:type="dxa" w:w="55"/>
              <w:left w:type="dxa" w:w="85"/>
              <w:bottom w:type="dxa" w:w="55"/>
              <w:right w:type="dxa" w:w="85"/>
            </w:tcMar>
          </w:tcPr>
          <w:p>
            <w:pPr>
              <w:spacing w:after="0" w:line="256"/>
            </w:pPr>
            <w:r>
              <w:rPr>
                <w:b/>
                <w:bCs/>
                <w:color w:val="000000"/>
                <w:sz w:val="19"/>
                <w:szCs w:val="19"/>
              </w:rPr>
              <w:t xml:space="preserve">10-21 ago</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Elaborar Acta de Constitución</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10-21 ago</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Iván</w:t>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Identificar interesados y aprobar inicio</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17-21 ago</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Rotativo</w:t>
            </w:r>
          </w:p>
        </w:tc>
      </w:tr>
      <w:tr>
        <w:tc>
          <w:tcPr>
            <w:tcW w:type="dxa" w:w="4560"/>
            <w:shd w:fill="F2F5FB" w:color="auto" w:val="clear"/>
            <w:tcMar>
              <w:top w:type="dxa" w:w="55"/>
              <w:left w:type="dxa" w:w="85"/>
              <w:bottom w:type="dxa" w:w="55"/>
              <w:right w:type="dxa" w:w="85"/>
            </w:tcMar>
          </w:tcPr>
          <w:p>
            <w:pPr>
              <w:spacing w:after="0" w:line="256"/>
            </w:pPr>
            <w:r>
              <w:rPr>
                <w:b/>
                <w:bCs/>
                <w:color w:val="000000"/>
                <w:sz w:val="19"/>
                <w:szCs w:val="19"/>
              </w:rPr>
              <w:t xml:space="preserve">FASE 2 — PLANIFICACIÓN</w:t>
            </w:r>
          </w:p>
        </w:tc>
        <w:tc>
          <w:tcPr>
            <w:tcW w:type="dxa" w:w="2600"/>
            <w:shd w:fill="F2F5FB" w:color="auto" w:val="clear"/>
            <w:tcMar>
              <w:top w:type="dxa" w:w="55"/>
              <w:left w:type="dxa" w:w="85"/>
              <w:bottom w:type="dxa" w:w="55"/>
              <w:right w:type="dxa" w:w="85"/>
            </w:tcMar>
          </w:tcPr>
          <w:p>
            <w:pPr>
              <w:spacing w:after="0" w:line="256"/>
            </w:pPr>
            <w:r>
              <w:rPr>
                <w:b/>
                <w:bCs/>
                <w:color w:val="000000"/>
                <w:sz w:val="19"/>
                <w:szCs w:val="19"/>
              </w:rPr>
              <w:t xml:space="preserve">24 ago-18 sep</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Kick-off y planes de gestión</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24 ago-18 sep</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Rotativo</w:t>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Arquitectura y modelo de datos (paralelo)</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7-18 sep</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Carlos (40%)</w:t>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Diseño de interfaz mobile-first (paralelo)</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7-18 sep</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Felipe (50%)</w:t>
            </w:r>
          </w:p>
        </w:tc>
      </w:tr>
      <w:tr>
        <w:tc>
          <w:tcPr>
            <w:tcW w:type="dxa" w:w="4560"/>
            <w:shd w:fill="F2F5FB" w:color="auto" w:val="clear"/>
            <w:tcMar>
              <w:top w:type="dxa" w:w="55"/>
              <w:left w:type="dxa" w:w="85"/>
              <w:bottom w:type="dxa" w:w="55"/>
              <w:right w:type="dxa" w:w="85"/>
            </w:tcMar>
          </w:tcPr>
          <w:p>
            <w:pPr>
              <w:spacing w:after="0" w:line="256"/>
            </w:pPr>
            <w:r>
              <w:rPr>
                <w:b/>
                <w:bCs/>
                <w:color w:val="000000"/>
                <w:sz w:val="19"/>
                <w:szCs w:val="19"/>
              </w:rPr>
              <w:t xml:space="preserve">FASE 3 — EJECUCIÓN</w:t>
            </w:r>
          </w:p>
        </w:tc>
        <w:tc>
          <w:tcPr>
            <w:tcW w:type="dxa" w:w="2600"/>
            <w:shd w:fill="F2F5FB" w:color="auto" w:val="clear"/>
            <w:tcMar>
              <w:top w:type="dxa" w:w="55"/>
              <w:left w:type="dxa" w:w="85"/>
              <w:bottom w:type="dxa" w:w="55"/>
              <w:right w:type="dxa" w:w="85"/>
            </w:tcMar>
          </w:tcPr>
          <w:p>
            <w:pPr>
              <w:spacing w:after="0" w:line="256"/>
            </w:pPr>
            <w:r>
              <w:rPr>
                <w:b/>
                <w:bCs/>
                <w:color w:val="000000"/>
                <w:sz w:val="19"/>
                <w:szCs w:val="19"/>
              </w:rPr>
              <w:t xml:space="preserve">21 sep-20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Ejecución de sprints de desarrollo</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21 sep-14 nov</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Rotativo (70%)</w:t>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Documentación técnica, manual y videos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2-14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Rotativo (20%)</w:t>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Capacitación a usuarios</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9-14 nov</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Rotativo (7%)</w:t>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Entrega y puesta en marcha</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9-20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Rotativo (3%)</w:t>
            </w:r>
          </w:p>
        </w:tc>
      </w:tr>
      <w:tr>
        <w:tc>
          <w:tcPr>
            <w:tcW w:type="dxa" w:w="4560"/>
            <w:shd w:fill="FFFFFF" w:color="auto" w:val="clear"/>
            <w:tcMar>
              <w:top w:type="dxa" w:w="55"/>
              <w:left w:type="dxa" w:w="85"/>
              <w:bottom w:type="dxa" w:w="55"/>
              <w:right w:type="dxa" w:w="85"/>
            </w:tcMar>
          </w:tcPr>
          <w:p>
            <w:pPr>
              <w:spacing w:after="0" w:line="256"/>
            </w:pPr>
            <w:r>
              <w:rPr>
                <w:b/>
                <w:bCs/>
                <w:color w:val="000000"/>
                <w:sz w:val="19"/>
                <w:szCs w:val="19"/>
              </w:rPr>
              <w:t xml:space="preserve">FASE 4 — CONTROL (transversal)</w:t>
            </w:r>
          </w:p>
        </w:tc>
        <w:tc>
          <w:tcPr>
            <w:tcW w:type="dxa" w:w="2600"/>
            <w:shd w:fill="FFFFFF" w:color="auto" w:val="clear"/>
            <w:tcMar>
              <w:top w:type="dxa" w:w="55"/>
              <w:left w:type="dxa" w:w="85"/>
              <w:bottom w:type="dxa" w:w="55"/>
              <w:right w:type="dxa" w:w="85"/>
            </w:tcMar>
          </w:tcPr>
          <w:p>
            <w:pPr>
              <w:spacing w:after="0" w:line="256"/>
            </w:pPr>
            <w:r>
              <w:rPr>
                <w:b/>
                <w:bCs/>
                <w:color w:val="000000"/>
                <w:sz w:val="19"/>
                <w:szCs w:val="19"/>
              </w:rPr>
              <w:t xml:space="preserve">21 sep-20 nov</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Control de alcance, cronograma, costos, calidad, riesgos, cambios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21 sep-20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Líder de sprint</w:t>
            </w:r>
          </w:p>
        </w:tc>
      </w:tr>
      <w:tr>
        <w:tc>
          <w:tcPr>
            <w:tcW w:type="dxa" w:w="4560"/>
            <w:shd w:fill="FFFFFF" w:color="auto" w:val="clear"/>
            <w:tcMar>
              <w:top w:type="dxa" w:w="55"/>
              <w:left w:type="dxa" w:w="85"/>
              <w:bottom w:type="dxa" w:w="55"/>
              <w:right w:type="dxa" w:w="85"/>
            </w:tcMar>
          </w:tcPr>
          <w:p>
            <w:pPr>
              <w:spacing w:after="0" w:line="256"/>
            </w:pPr>
            <w:r>
              <w:rPr>
                <w:b/>
                <w:bCs/>
                <w:color w:val="000000"/>
                <w:sz w:val="19"/>
                <w:szCs w:val="19"/>
              </w:rPr>
              <w:t xml:space="preserve">FASE 5 — CIERRE</w:t>
            </w:r>
          </w:p>
        </w:tc>
        <w:tc>
          <w:tcPr>
            <w:tcW w:type="dxa" w:w="2600"/>
            <w:shd w:fill="FFFFFF" w:color="auto" w:val="clear"/>
            <w:tcMar>
              <w:top w:type="dxa" w:w="55"/>
              <w:left w:type="dxa" w:w="85"/>
              <w:bottom w:type="dxa" w:w="55"/>
              <w:right w:type="dxa" w:w="85"/>
            </w:tcMar>
          </w:tcPr>
          <w:p>
            <w:pPr>
              <w:spacing w:after="0" w:line="256"/>
            </w:pPr>
            <w:r>
              <w:rPr>
                <w:b/>
                <w:bCs/>
                <w:color w:val="000000"/>
                <w:sz w:val="19"/>
                <w:szCs w:val="19"/>
              </w:rPr>
              <w:t xml:space="preserve">16-27 nov + defensa</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Cierre de presupuesto, alcance y cronograma</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16-27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Iván (70%)</w:t>
            </w:r>
          </w:p>
        </w:tc>
      </w:tr>
      <w:tr>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Entrega final de documentos</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16-27 nov</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Carlos (70%)</w:t>
            </w:r>
          </w:p>
        </w:tc>
      </w:tr>
      <w:tr>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Reunión de cierre, lecciones y presentación</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16-27 nov</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Carlos/Felipe/Iván</w:t>
            </w:r>
          </w:p>
        </w:tc>
      </w:tr>
    </w:tbl>
    <w:p>
      <w:pPr>
        <w:spacing w:after="120" w:line="274"/>
      </w:pPr>
      <w:r>
        <w:rPr>
          <w:i/>
          <w:iCs/>
          <w:color w:val="595959"/>
          <w:sz w:val="19"/>
          <w:szCs w:val="19"/>
        </w:rPr>
        <w:t xml:space="preserve">Los hitos oficiales se muestran abajo; MS Project ubica el término de sprints y la puesta en marcha en la ventana 14-20 nov, dejando holgura hasta el 21-nov (Go-Live) y 12-dic (defensa).</w:t>
      </w:r>
    </w:p>
    <w:p>
      <w:pPr>
        <w:pStyle w:val="Heading2"/>
        <w:spacing w:after="80" w:before="190"/>
      </w:pPr>
      <w:r>
        <w:rPr>
          <w:b/>
          <w:bCs/>
          <w:color w:val="2E5496"/>
          <w:sz w:val="22"/>
          <w:szCs w:val="22"/>
        </w:rPr>
        <w:t xml:space="preserve">4. Hitos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760"/>
        <w:gridCol w:w="2600"/>
      </w:tblGrid>
      <w:tr>
        <w:trPr>
          <w:tblHeader/>
        </w:trPr>
        <w:tc>
          <w:tcPr>
            <w:tcW w:type="dxa" w:w="6760"/>
            <w:shd w:fill="1F3864" w:color="auto" w:val="clear"/>
            <w:tcMar>
              <w:top w:type="dxa" w:w="55"/>
              <w:left w:type="dxa" w:w="85"/>
              <w:bottom w:type="dxa" w:w="55"/>
              <w:right w:type="dxa" w:w="85"/>
            </w:tcMar>
          </w:tcPr>
          <w:p>
            <w:pPr>
              <w:spacing w:after="0" w:line="256"/>
            </w:pPr>
            <w:r>
              <w:rPr>
                <w:b/>
                <w:bCs/>
                <w:color w:val="FFFFFF"/>
                <w:sz w:val="19"/>
                <w:szCs w:val="19"/>
              </w:rPr>
              <w:t xml:space="preserve">Hito</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Fecha tope</w:t>
            </w:r>
          </w:p>
        </w:tc>
      </w:tr>
      <w:tr>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Aprobación del Acta de Constitución</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22-ago-2026</w:t>
            </w:r>
          </w:p>
        </w:tc>
      </w:tr>
      <w:tr>
        <w:tc>
          <w:tcPr>
            <w:tcW w:type="dxa" w:w="6760"/>
            <w:shd w:fill="F2F5FB" w:color="auto" w:val="clear"/>
            <w:tcMar>
              <w:top w:type="dxa" w:w="55"/>
              <w:left w:type="dxa" w:w="85"/>
              <w:bottom w:type="dxa" w:w="55"/>
              <w:right w:type="dxa" w:w="85"/>
            </w:tcMar>
          </w:tcPr>
          <w:p>
            <w:pPr>
              <w:spacing w:after="0" w:line="256"/>
            </w:pPr>
            <w:r>
              <w:rPr>
                <w:color w:val="000000"/>
                <w:sz w:val="19"/>
                <w:szCs w:val="19"/>
              </w:rPr>
              <w:t xml:space="preserve">Aprobación del Plan de Dirección del Proyecto</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19-sep-2026</w:t>
            </w:r>
          </w:p>
        </w:tc>
      </w:tr>
      <w:tr>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Fin de sprints de desarrollo</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14-nov-2026</w:t>
            </w:r>
          </w:p>
        </w:tc>
      </w:tr>
      <w:tr>
        <w:tc>
          <w:tcPr>
            <w:tcW w:type="dxa" w:w="6760"/>
            <w:shd w:fill="F2F5FB" w:color="auto" w:val="clear"/>
            <w:tcMar>
              <w:top w:type="dxa" w:w="55"/>
              <w:left w:type="dxa" w:w="85"/>
              <w:bottom w:type="dxa" w:w="55"/>
              <w:right w:type="dxa" w:w="85"/>
            </w:tcMar>
          </w:tcPr>
          <w:p>
            <w:pPr>
              <w:spacing w:after="0" w:line="256"/>
            </w:pPr>
            <w:r>
              <w:rPr>
                <w:color w:val="000000"/>
                <w:sz w:val="19"/>
                <w:szCs w:val="19"/>
              </w:rPr>
              <w:t xml:space="preserve">Entrega y puesta en marcha (Go-Live)</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21-nov-2026</w:t>
            </w:r>
          </w:p>
        </w:tc>
      </w:tr>
      <w:tr>
        <w:tc>
          <w:tcPr>
            <w:tcW w:type="dxa" w:w="6760"/>
            <w:shd w:fill="FFFFFF" w:color="auto" w:val="clear"/>
            <w:tcMar>
              <w:top w:type="dxa" w:w="55"/>
              <w:left w:type="dxa" w:w="85"/>
              <w:bottom w:type="dxa" w:w="55"/>
              <w:right w:type="dxa" w:w="85"/>
            </w:tcMar>
          </w:tcPr>
          <w:p>
            <w:pPr>
              <w:spacing w:after="0" w:line="256"/>
            </w:pPr>
            <w:r>
              <w:rPr>
                <w:color w:val="000000"/>
                <w:sz w:val="19"/>
                <w:szCs w:val="19"/>
              </w:rPr>
              <w:t xml:space="preserve">Entrega final y presentación a comisión</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12-dic-2026</w:t>
            </w:r>
          </w:p>
        </w:tc>
      </w:tr>
    </w:tbl>
    <w:p>
      <w:pPr>
        <w:pStyle w:val="Heading2"/>
        <w:spacing w:after="80" w:before="190"/>
      </w:pPr>
      <w:r>
        <w:rPr>
          <w:b/>
          <w:bCs/>
          <w:color w:val="2E5496"/>
          <w:sz w:val="22"/>
          <w:szCs w:val="22"/>
        </w:rPr>
        <w:t xml:space="preserve">5. Control del cronograma</w:t>
      </w:r>
    </w:p>
    <w:p>
      <w:pPr>
        <w:pStyle w:val="ListParagraph"/>
        <w:numPr>
          <w:ilvl w:val="0"/>
          <w:numId w:val="1"/>
        </w:numPr>
        <w:spacing w:after="60" w:line="270"/>
      </w:pPr>
      <w:r>
        <w:rPr>
          <w:sz w:val="21"/>
          <w:szCs w:val="21"/>
        </w:rPr>
        <w:t xml:space="preserve">Revisión semanal de avance por el líder de sprint (GitHub Projects vs. línea base MS Project).</w:t>
      </w:r>
    </w:p>
    <w:p>
      <w:pPr>
        <w:pStyle w:val="ListParagraph"/>
        <w:numPr>
          <w:ilvl w:val="0"/>
          <w:numId w:val="1"/>
        </w:numPr>
        <w:spacing w:after="60" w:line="270"/>
      </w:pPr>
      <w:r>
        <w:rPr>
          <w:sz w:val="21"/>
          <w:szCs w:val="21"/>
        </w:rPr>
        <w:t xml:space="preserve">Como el plazo es fijo, todo atraso se gestiona repriorizando alcance antes que solicitando extensión.</w:t>
      </w:r>
    </w:p>
    <w:p>
      <w:pPr>
        <w:pStyle w:val="ListParagraph"/>
        <w:numPr>
          <w:ilvl w:val="0"/>
          <w:numId w:val="1"/>
        </w:numPr>
        <w:spacing w:after="60" w:line="270"/>
      </w:pPr>
      <w:r>
        <w:rPr>
          <w:sz w:val="21"/>
          <w:szCs w:val="21"/>
        </w:rPr>
        <w:t xml:space="preserve">Toda desviación mayor a una semana en un hito se comunica al patrocinador con su plan de recuperación.</w:t>
      </w:r>
    </w:p>
    <w:p>
      <w:pPr>
        <w:pStyle w:val="Heading1"/>
        <w:spacing w:after="100" w:before="250"/>
      </w:pPr>
      <w:r>
        <w:rPr>
          <w:b/>
          <w:bCs/>
          <w:color w:val="1F3864"/>
          <w:sz w:val="25"/>
          <w:szCs w:val="25"/>
        </w:rPr>
        <w:t xml:space="preserve">Plan de Gestión de Costos</w:t>
      </w:r>
    </w:p>
    <w:p>
      <w:pPr>
        <w:pStyle w:val="Heading2"/>
        <w:spacing w:after="80" w:before="190"/>
      </w:pPr>
      <w:r>
        <w:rPr>
          <w:b/>
          <w:bCs/>
          <w:color w:val="2E5496"/>
          <w:sz w:val="22"/>
          <w:szCs w:val="22"/>
        </w:rPr>
        <w:t xml:space="preserve">1. Propósito y enfoque</w:t>
      </w:r>
    </w:p>
    <w:p>
      <w:pPr>
        <w:spacing w:after="120" w:line="274"/>
      </w:pPr>
      <w:r>
        <w:rPr>
          <w:sz w:val="21"/>
          <w:szCs w:val="21"/>
        </w:rPr>
        <w:t xml:space="preserve">Befine Store es un trabajo de título ejecutado por Plaxi Solutions: no se cobran horas-hombre; el costo de labor se registra en $0. Este plan gestiona los costos reales (herramientas e infraestructura), contratados en modalidad anual y financiados por el cliente conforme a la SC-01.</w:t>
      </w:r>
    </w:p>
    <w:p>
      <w:pPr>
        <w:pStyle w:val="Heading2"/>
        <w:spacing w:after="80" w:before="190"/>
      </w:pPr>
      <w:r>
        <w:rPr>
          <w:b/>
          <w:bCs/>
          <w:color w:val="2E5496"/>
          <w:sz w:val="22"/>
          <w:szCs w:val="22"/>
        </w:rPr>
        <w:t xml:space="preserve">2. Unidad de medida y moneda</w:t>
      </w:r>
    </w:p>
    <w:p>
      <w:pPr>
        <w:pStyle w:val="ListParagraph"/>
        <w:numPr>
          <w:ilvl w:val="0"/>
          <w:numId w:val="1"/>
        </w:numPr>
        <w:spacing w:after="60" w:line="270"/>
      </w:pPr>
      <w:r>
        <w:rPr>
          <w:sz w:val="21"/>
          <w:szCs w:val="21"/>
        </w:rPr>
        <w:t xml:space="preserve">Moneda base: peso chileno (CLP), conforme a RNF-14.</w:t>
      </w:r>
    </w:p>
    <w:p>
      <w:pPr>
        <w:pStyle w:val="ListParagraph"/>
        <w:numPr>
          <w:ilvl w:val="0"/>
          <w:numId w:val="1"/>
        </w:numPr>
        <w:spacing w:after="60" w:line="270"/>
      </w:pPr>
      <w:r>
        <w:rPr>
          <w:sz w:val="21"/>
          <w:szCs w:val="21"/>
        </w:rPr>
        <w:t xml:space="preserve">Supabase se utiliza en su plan gratuito (SC-04); el presupuesto no incluye servicios cotizados en dólares.</w:t>
      </w:r>
    </w:p>
    <w:p>
      <w:pPr>
        <w:pStyle w:val="ListParagraph"/>
        <w:numPr>
          <w:ilvl w:val="0"/>
          <w:numId w:val="1"/>
        </w:numPr>
        <w:spacing w:after="60" w:line="270"/>
      </w:pPr>
      <w:r>
        <w:rPr>
          <w:sz w:val="21"/>
          <w:szCs w:val="21"/>
        </w:rPr>
        <w:t xml:space="preserve">Estimación por cotización directa de cada proveedor.</w:t>
      </w:r>
    </w:p>
    <w:p>
      <w:pPr>
        <w:pStyle w:val="Heading2"/>
        <w:spacing w:after="80" w:before="190"/>
      </w:pPr>
      <w:r>
        <w:rPr>
          <w:b/>
          <w:bCs/>
          <w:color w:val="2E5496"/>
          <w:sz w:val="22"/>
          <w:szCs w:val="22"/>
        </w:rPr>
        <w:t xml:space="preserve">3. Presupuesto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4360"/>
        <w:gridCol w:w="2400"/>
      </w:tblGrid>
      <w:tr>
        <w:trPr>
          <w:tblHeader/>
        </w:trPr>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Categoría</w:t>
            </w:r>
          </w:p>
        </w:tc>
        <w:tc>
          <w:tcPr>
            <w:tcW w:type="dxa" w:w="4360"/>
            <w:shd w:fill="1F3864" w:color="auto" w:val="clear"/>
            <w:tcMar>
              <w:top w:type="dxa" w:w="55"/>
              <w:left w:type="dxa" w:w="85"/>
              <w:bottom w:type="dxa" w:w="55"/>
              <w:right w:type="dxa" w:w="85"/>
            </w:tcMar>
          </w:tcPr>
          <w:p>
            <w:pPr>
              <w:spacing w:after="0" w:line="256"/>
            </w:pPr>
            <w:r>
              <w:rPr>
                <w:b/>
                <w:bCs/>
                <w:color w:val="FFFFFF"/>
                <w:sz w:val="19"/>
                <w:szCs w:val="19"/>
              </w:rPr>
              <w:t xml:space="preserve">Ítem</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Costo (CLP)</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Labor</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Desarrollo Plaxi Solutions — trabajo de título</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Infraestructura</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Dominio web (se reutiliza el de Shopify)</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Licencias</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OpenFactura, plan Pyme (anual)</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$428.400</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Licencias</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Certificado digital de firma electrónica SII (1 año)</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$14.030</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Infraestructura</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Supabase, plan gratuito (SC-04)</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Servicios</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Mercado Pago (comisión por transacción)</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2600"/>
            <w:shd w:fill="FFFFFF" w:color="auto" w:val="clear"/>
            <w:tcMar>
              <w:top w:type="dxa" w:w="55"/>
              <w:left w:type="dxa" w:w="85"/>
              <w:bottom w:type="dxa" w:w="55"/>
              <w:right w:type="dxa" w:w="85"/>
            </w:tcMar>
          </w:tcPr>
          <w:p>
            <w:pPr>
              <w:spacing w:after="0" w:line="256"/>
            </w:pPr>
            <w:r>
              <w:rPr>
                <w:b/>
                <w:bCs/>
                <w:color w:val="000000"/>
                <w:sz w:val="19"/>
                <w:szCs w:val="19"/>
              </w:rPr>
              <w:t xml:space="preserve">Subtotal anual</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2400"/>
            <w:shd w:fill="FFFFFF" w:color="auto" w:val="clear"/>
            <w:tcMar>
              <w:top w:type="dxa" w:w="55"/>
              <w:left w:type="dxa" w:w="85"/>
              <w:bottom w:type="dxa" w:w="55"/>
              <w:right w:type="dxa" w:w="85"/>
            </w:tcMar>
          </w:tcPr>
          <w:p>
            <w:pPr>
              <w:spacing w:after="0" w:line="256"/>
            </w:pPr>
            <w:r>
              <w:rPr>
                <w:b/>
                <w:bCs/>
                <w:color w:val="000000"/>
                <w:sz w:val="19"/>
                <w:szCs w:val="19"/>
              </w:rPr>
              <w:t xml:space="preserve">$442.430</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Reserva de contingencia</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15%</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$66.365</w:t>
            </w:r>
          </w:p>
        </w:tc>
      </w:tr>
      <w:tr>
        <w:tc>
          <w:tcPr>
            <w:tcW w:type="dxa" w:w="2600"/>
            <w:shd w:fill="FFFFFF" w:color="auto" w:val="clear"/>
            <w:tcMar>
              <w:top w:type="dxa" w:w="55"/>
              <w:left w:type="dxa" w:w="85"/>
              <w:bottom w:type="dxa" w:w="55"/>
              <w:right w:type="dxa" w:w="85"/>
            </w:tcMar>
          </w:tcPr>
          <w:p>
            <w:pPr>
              <w:spacing w:after="0" w:line="256"/>
            </w:pPr>
            <w:r>
              <w:rPr>
                <w:b/>
                <w:bCs/>
                <w:color w:val="000000"/>
                <w:sz w:val="19"/>
                <w:szCs w:val="19"/>
              </w:rPr>
              <w:t xml:space="preserve">Total anual (línea base de costo)</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 $42.400 CLP/mes promedio</w:t>
            </w:r>
          </w:p>
        </w:tc>
        <w:tc>
          <w:tcPr>
            <w:tcW w:type="dxa" w:w="2400"/>
            <w:shd w:fill="FFFFFF" w:color="auto" w:val="clear"/>
            <w:tcMar>
              <w:top w:type="dxa" w:w="55"/>
              <w:left w:type="dxa" w:w="85"/>
              <w:bottom w:type="dxa" w:w="55"/>
              <w:right w:type="dxa" w:w="85"/>
            </w:tcMar>
          </w:tcPr>
          <w:p>
            <w:pPr>
              <w:spacing w:after="0" w:line="256"/>
            </w:pPr>
            <w:r>
              <w:rPr>
                <w:b/>
                <w:bCs/>
                <w:color w:val="000000"/>
                <w:sz w:val="19"/>
                <w:szCs w:val="19"/>
              </w:rPr>
              <w:t xml:space="preserve">$508.795</w:t>
            </w:r>
          </w:p>
        </w:tc>
      </w:tr>
    </w:tbl>
    <w:p>
      <w:pPr>
        <w:pStyle w:val="Heading2"/>
        <w:spacing w:after="80" w:before="190"/>
      </w:pPr>
      <w:r>
        <w:rPr>
          <w:b/>
          <w:bCs/>
          <w:color w:val="2E5496"/>
          <w:sz w:val="22"/>
          <w:szCs w:val="22"/>
        </w:rPr>
        <w:t xml:space="preserve">4. Financiamiento y modelo de cobro</w:t>
      </w:r>
    </w:p>
    <w:p>
      <w:pPr>
        <w:pStyle w:val="ListParagraph"/>
        <w:numPr>
          <w:ilvl w:val="0"/>
          <w:numId w:val="1"/>
        </w:numPr>
        <w:spacing w:after="60" w:line="270"/>
      </w:pPr>
      <w:r>
        <w:rPr>
          <w:sz w:val="21"/>
          <w:szCs w:val="21"/>
        </w:rPr>
        <w:t xml:space="preserve">El presupuesto anual ($508.795 CLP) lo financia el cliente, que contrata los servicios a su nombre (SC-01, SC-04).</w:t>
      </w:r>
    </w:p>
    <w:p>
      <w:pPr>
        <w:pStyle w:val="ListParagraph"/>
        <w:numPr>
          <w:ilvl w:val="0"/>
          <w:numId w:val="1"/>
        </w:numPr>
        <w:spacing w:after="60" w:line="270"/>
      </w:pPr>
      <w:r>
        <w:rPr>
          <w:sz w:val="21"/>
          <w:szCs w:val="21"/>
        </w:rPr>
        <w:t xml:space="preserve">El desarrollo no genera costo para el cliente (trabajo de título).</w:t>
      </w:r>
    </w:p>
    <w:p>
      <w:pPr>
        <w:pStyle w:val="ListParagraph"/>
        <w:numPr>
          <w:ilvl w:val="0"/>
          <w:numId w:val="1"/>
        </w:numPr>
        <w:spacing w:after="60" w:line="270"/>
      </w:pPr>
      <w:r>
        <w:rPr>
          <w:sz w:val="21"/>
          <w:szCs w:val="21"/>
        </w:rPr>
        <w:t xml:space="preserve">Mantención post-entrega: $90.000 CLP/mes (≈5 h de soporte), independiente de la línea base de costo.</w:t>
      </w:r>
    </w:p>
    <w:p>
      <w:pPr>
        <w:pStyle w:val="Heading2"/>
        <w:spacing w:after="80" w:before="190"/>
      </w:pPr>
      <w:r>
        <w:rPr>
          <w:b/>
          <w:bCs/>
          <w:color w:val="2E5496"/>
          <w:sz w:val="22"/>
          <w:szCs w:val="22"/>
        </w:rPr>
        <w:t xml:space="preserve">5. Línea base de costo</w:t>
      </w:r>
    </w:p>
    <w:p>
      <w:pPr>
        <w:spacing w:after="120" w:line="274"/>
      </w:pPr>
      <w:r>
        <w:rPr>
          <w:sz w:val="21"/>
          <w:szCs w:val="21"/>
        </w:rPr>
        <w:t xml:space="preserve">La línea base de costo es el total anual autorizado de $508.795 CLP (subtotal $442.430 + 15% contingencia). El detalle está en el Anexo — Presupuesto del Proyecto (Excel).</w:t>
      </w:r>
    </w:p>
    <w:p>
      <w:pPr>
        <w:pStyle w:val="Heading2"/>
        <w:spacing w:after="80" w:before="190"/>
      </w:pPr>
      <w:r>
        <w:rPr>
          <w:b/>
          <w:bCs/>
          <w:color w:val="2E5496"/>
          <w:sz w:val="22"/>
          <w:szCs w:val="22"/>
        </w:rPr>
        <w:t xml:space="preserve">6. Control de costos</w:t>
      </w:r>
    </w:p>
    <w:p>
      <w:pPr>
        <w:pStyle w:val="ListParagraph"/>
        <w:numPr>
          <w:ilvl w:val="0"/>
          <w:numId w:val="1"/>
        </w:numPr>
        <w:spacing w:after="60" w:line="270"/>
      </w:pPr>
      <w:r>
        <w:rPr>
          <w:sz w:val="21"/>
          <w:szCs w:val="21"/>
        </w:rPr>
        <w:t xml:space="preserve">Las decisiones de contratación de herramientas pagas se informan al patrocinador antes del gasto.</w:t>
      </w:r>
    </w:p>
    <w:p>
      <w:pPr>
        <w:pStyle w:val="ListParagraph"/>
        <w:numPr>
          <w:ilvl w:val="0"/>
          <w:numId w:val="1"/>
        </w:numPr>
        <w:spacing w:after="60" w:line="270"/>
      </w:pPr>
      <w:r>
        <w:rPr>
          <w:sz w:val="21"/>
          <w:szCs w:val="21"/>
        </w:rPr>
        <w:t xml:space="preserve">Todo cambio de alcance con nuevo costo recurrente se evalúa como Solicitud de Cambio.</w:t>
      </w:r>
    </w:p>
    <w:p>
      <w:pPr>
        <w:pStyle w:val="ListParagraph"/>
        <w:numPr>
          <w:ilvl w:val="0"/>
          <w:numId w:val="1"/>
        </w:numPr>
        <w:spacing w:after="60" w:line="270"/>
      </w:pPr>
      <w:r>
        <w:rPr>
          <w:sz w:val="21"/>
          <w:szCs w:val="21"/>
        </w:rPr>
        <w:t xml:space="preserve">En producción, se revisa trimestralmente el gasto real de Supabase y OpenFactura contra lo presupuestado.</w:t>
      </w:r>
    </w:p>
    <w:p>
      <w:pPr>
        <w:pStyle w:val="Heading1"/>
        <w:spacing w:after="100" w:before="250"/>
      </w:pPr>
      <w:r>
        <w:rPr>
          <w:b/>
          <w:bCs/>
          <w:color w:val="1F3864"/>
          <w:sz w:val="25"/>
          <w:szCs w:val="25"/>
        </w:rPr>
        <w:t xml:space="preserve">Plan de Gestión de la Calidad</w:t>
      </w:r>
    </w:p>
    <w:p>
      <w:pPr>
        <w:pStyle w:val="Heading2"/>
        <w:spacing w:after="80" w:before="190"/>
      </w:pPr>
      <w:r>
        <w:rPr>
          <w:b/>
          <w:bCs/>
          <w:color w:val="2E5496"/>
          <w:sz w:val="22"/>
          <w:szCs w:val="22"/>
        </w:rPr>
        <w:t xml:space="preserve">1. Expectativas de calidad según el cliente</w:t>
      </w:r>
    </w:p>
    <w:p>
      <w:pPr>
        <w:spacing w:after="120" w:line="274"/>
      </w:pPr>
      <w:r>
        <w:rPr>
          <w:sz w:val="21"/>
          <w:szCs w:val="21"/>
        </w:rPr>
        <w:t xml:space="preserve">El cliente espera una plataforma funcional, segura y confiable que reemplace a Shopify sin perder funciones clave, gestionable desde el celular, que cobre en línea de forma segura y emita DTE válidos ante el SII, en condiciones de operar y delegarse.</w:t>
      </w:r>
    </w:p>
    <w:p>
      <w:pPr>
        <w:pStyle w:val="Heading2"/>
        <w:spacing w:after="80" w:before="190"/>
      </w:pPr>
      <w:r>
        <w:rPr>
          <w:b/>
          <w:bCs/>
          <w:color w:val="2E5496"/>
          <w:sz w:val="22"/>
          <w:szCs w:val="22"/>
        </w:rPr>
        <w:t xml:space="preserve">2. Interesados del proyecto (calidad)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3000"/>
        <w:gridCol w:w="3760"/>
      </w:tblGrid>
      <w:tr>
        <w:trPr>
          <w:tblHeader/>
        </w:trPr>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Interesado</w:t>
            </w:r>
          </w:p>
        </w:tc>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3760"/>
            <w:shd w:fill="1F3864" w:color="auto" w:val="clear"/>
            <w:tcMar>
              <w:top w:type="dxa" w:w="55"/>
              <w:left w:type="dxa" w:w="85"/>
              <w:bottom w:type="dxa" w:w="55"/>
              <w:right w:type="dxa" w:w="85"/>
            </w:tcMar>
          </w:tcPr>
          <w:p>
            <w:pPr>
              <w:spacing w:after="0" w:line="256"/>
            </w:pPr>
            <w:r>
              <w:rPr>
                <w:b/>
                <w:bCs/>
                <w:color w:val="FFFFFF"/>
                <w:sz w:val="19"/>
                <w:szCs w:val="19"/>
              </w:rPr>
              <w:t xml:space="preserve">Interés de calidad</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Patrocinador / Dueño</w:t>
            </w:r>
          </w:p>
        </w:tc>
        <w:tc>
          <w:tcPr>
            <w:tcW w:type="dxa" w:w="3760"/>
            <w:shd w:fill="FFFFFF" w:color="auto" w:val="clear"/>
            <w:tcMar>
              <w:top w:type="dxa" w:w="55"/>
              <w:left w:type="dxa" w:w="85"/>
              <w:bottom w:type="dxa" w:w="55"/>
              <w:right w:type="dxa" w:w="85"/>
            </w:tcMar>
          </w:tcPr>
          <w:p>
            <w:pPr>
              <w:spacing w:after="0" w:line="256"/>
            </w:pPr>
            <w:r>
              <w:rPr>
                <w:color w:val="000000"/>
                <w:sz w:val="19"/>
                <w:szCs w:val="19"/>
              </w:rPr>
              <w:t xml:space="preserve">Plataforma confiable y delegable</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Datos y gestión</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Integridad de datos e informes</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Frontend</w:t>
            </w:r>
          </w:p>
        </w:tc>
        <w:tc>
          <w:tcPr>
            <w:tcW w:type="dxa" w:w="3760"/>
            <w:shd w:fill="FFFFFF" w:color="auto" w:val="clear"/>
            <w:tcMar>
              <w:top w:type="dxa" w:w="55"/>
              <w:left w:type="dxa" w:w="85"/>
              <w:bottom w:type="dxa" w:w="55"/>
              <w:right w:type="dxa" w:w="85"/>
            </w:tcMar>
          </w:tcPr>
          <w:p>
            <w:pPr>
              <w:spacing w:after="0" w:line="256"/>
            </w:pPr>
            <w:r>
              <w:rPr>
                <w:color w:val="000000"/>
                <w:sz w:val="19"/>
                <w:szCs w:val="19"/>
              </w:rPr>
              <w:t xml:space="preserve">Usabilidad y consistencia visual</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Docente guía</w:t>
            </w:r>
          </w:p>
        </w:tc>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Evaluador APT</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Cumplimiento metodológico y académico</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Clientes (~450)</w:t>
            </w:r>
          </w:p>
        </w:tc>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Usuarios finales</w:t>
            </w:r>
          </w:p>
        </w:tc>
        <w:tc>
          <w:tcPr>
            <w:tcW w:type="dxa" w:w="3760"/>
            <w:shd w:fill="FFFFFF" w:color="auto" w:val="clear"/>
            <w:tcMar>
              <w:top w:type="dxa" w:w="55"/>
              <w:left w:type="dxa" w:w="85"/>
              <w:bottom w:type="dxa" w:w="55"/>
              <w:right w:type="dxa" w:w="85"/>
            </w:tcMar>
          </w:tcPr>
          <w:p>
            <w:pPr>
              <w:spacing w:after="0" w:line="256"/>
            </w:pPr>
            <w:r>
              <w:rPr>
                <w:color w:val="000000"/>
                <w:sz w:val="19"/>
                <w:szCs w:val="19"/>
              </w:rPr>
              <w:t xml:space="preserve">Experiencia de compra simple y segura</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Reparto/logística</w:t>
            </w:r>
          </w:p>
        </w:tc>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Panel de pedidos</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Panel usable</w:t>
            </w:r>
          </w:p>
        </w:tc>
      </w:tr>
    </w:tbl>
    <w:p>
      <w:pPr>
        <w:pStyle w:val="Heading2"/>
        <w:spacing w:after="80" w:before="190"/>
      </w:pPr>
      <w:r>
        <w:rPr>
          <w:b/>
          <w:bCs/>
          <w:color w:val="2E5496"/>
          <w:sz w:val="22"/>
          <w:szCs w:val="22"/>
        </w:rPr>
        <w:t xml:space="preserve">3. Alcance inicial</w:t>
      </w:r>
    </w:p>
    <w:p>
      <w:pPr>
        <w:spacing w:after="120" w:line="274"/>
      </w:pPr>
      <w:r>
        <w:rPr>
          <w:sz w:val="21"/>
          <w:szCs w:val="21"/>
        </w:rPr>
        <w:t xml:space="preserve">MVP: landing (RF-01 a RF-14) + panel (RF-15 a RF-25) + fidelización + Mercado Pago + OpenFactura, con los 14 RNF transversales, desarrollado con HTML5/CSS3/JavaScript sobre Supabase y desplegado con Docker.</w:t>
      </w:r>
    </w:p>
    <w:p>
      <w:pPr>
        <w:pStyle w:val="Heading2"/>
        <w:spacing w:after="80" w:before="190"/>
      </w:pPr>
      <w:r>
        <w:rPr>
          <w:b/>
          <w:bCs/>
          <w:color w:val="2E5496"/>
          <w:sz w:val="22"/>
          <w:szCs w:val="22"/>
        </w:rPr>
        <w:t xml:space="preserve">4. Línea base del cronograma (calidad)</w:t>
      </w:r>
    </w:p>
    <w:p>
      <w:pPr>
        <w:spacing w:after="120" w:line="274"/>
      </w:pPr>
      <w:r>
        <w:rPr>
          <w:sz w:val="21"/>
          <w:szCs w:val="21"/>
        </w:rPr>
        <w:t xml:space="preserve">18 semanas; validación en cada Sprint Review; 100% de casos de prueba críticos aprobados antes del Go-Live (21-nov-2026).</w:t>
      </w:r>
    </w:p>
    <w:p>
      <w:pPr>
        <w:pStyle w:val="Heading2"/>
        <w:spacing w:after="80" w:before="190"/>
      </w:pPr>
      <w:r>
        <w:rPr>
          <w:b/>
          <w:bCs/>
          <w:color w:val="2E5496"/>
          <w:sz w:val="22"/>
          <w:szCs w:val="22"/>
        </w:rPr>
        <w:t xml:space="preserve">5. Registro de riesgos (asociados a calidad)</w:t>
      </w:r>
    </w:p>
    <w:p>
      <w:pPr>
        <w:pStyle w:val="ListParagraph"/>
        <w:numPr>
          <w:ilvl w:val="0"/>
          <w:numId w:val="1"/>
        </w:numPr>
        <w:spacing w:after="60" w:line="270"/>
      </w:pPr>
      <w:r>
        <w:rPr>
          <w:sz w:val="21"/>
          <w:szCs w:val="21"/>
        </w:rPr>
        <w:t xml:space="preserve">Curva de integración HTML/JS ↔ SDK de Supabase → prototipo temprano y revisión cruzada de código.</w:t>
      </w:r>
    </w:p>
    <w:p>
      <w:pPr>
        <w:pStyle w:val="ListParagraph"/>
        <w:numPr>
          <w:ilvl w:val="0"/>
          <w:numId w:val="1"/>
        </w:numPr>
        <w:spacing w:after="60" w:line="270"/>
      </w:pPr>
      <w:r>
        <w:rPr>
          <w:sz w:val="21"/>
          <w:szCs w:val="21"/>
        </w:rPr>
        <w:t xml:space="preserve">Integración OpenFactura requiere certificación SII → sprint dedicado y temprano.</w:t>
      </w:r>
    </w:p>
    <w:p>
      <w:pPr>
        <w:pStyle w:val="ListParagraph"/>
        <w:numPr>
          <w:ilvl w:val="0"/>
          <w:numId w:val="1"/>
        </w:numPr>
        <w:spacing w:after="60" w:line="270"/>
      </w:pPr>
      <w:r>
        <w:rPr>
          <w:sz w:val="21"/>
          <w:szCs w:val="21"/>
        </w:rPr>
        <w:t xml:space="preserve">Cobertura de pruebas con plazo acotado → priorización de flujos críticos.</w:t>
      </w:r>
    </w:p>
    <w:p>
      <w:pPr>
        <w:pStyle w:val="Heading2"/>
        <w:spacing w:after="80" w:before="190"/>
      </w:pPr>
      <w:r>
        <w:rPr>
          <w:b/>
          <w:bCs/>
          <w:color w:val="2E5496"/>
          <w:sz w:val="22"/>
          <w:szCs w:val="22"/>
        </w:rPr>
        <w:t xml:space="preserve">6. KPI iniciales (métricas de calidad)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760"/>
        <w:gridCol w:w="3600"/>
      </w:tblGrid>
      <w:tr>
        <w:trPr>
          <w:tblHeader/>
        </w:trPr>
        <w:tc>
          <w:tcPr>
            <w:tcW w:type="dxa" w:w="5760"/>
            <w:shd w:fill="1F3864" w:color="auto" w:val="clear"/>
            <w:tcMar>
              <w:top w:type="dxa" w:w="55"/>
              <w:left w:type="dxa" w:w="85"/>
              <w:bottom w:type="dxa" w:w="55"/>
              <w:right w:type="dxa" w:w="85"/>
            </w:tcMar>
          </w:tcPr>
          <w:p>
            <w:pPr>
              <w:spacing w:after="0" w:line="256"/>
            </w:pPr>
            <w:r>
              <w:rPr>
                <w:b/>
                <w:bCs/>
                <w:color w:val="FFFFFF"/>
                <w:sz w:val="19"/>
                <w:szCs w:val="19"/>
              </w:rPr>
              <w:t xml:space="preserve">KPI / métrica</w:t>
            </w:r>
          </w:p>
        </w:tc>
        <w:tc>
          <w:tcPr>
            <w:tcW w:type="dxa" w:w="3600"/>
            <w:shd w:fill="1F3864" w:color="auto" w:val="clear"/>
            <w:tcMar>
              <w:top w:type="dxa" w:w="55"/>
              <w:left w:type="dxa" w:w="85"/>
              <w:bottom w:type="dxa" w:w="55"/>
              <w:right w:type="dxa" w:w="85"/>
            </w:tcMar>
          </w:tcPr>
          <w:p>
            <w:pPr>
              <w:spacing w:after="0" w:line="256"/>
            </w:pPr>
            <w:r>
              <w:rPr>
                <w:b/>
                <w:bCs/>
                <w:color w:val="FFFFFF"/>
                <w:sz w:val="19"/>
                <w:szCs w:val="19"/>
              </w:rPr>
              <w:t xml:space="preserve">Objetivo / umbral</w:t>
            </w:r>
          </w:p>
        </w:tc>
      </w:tr>
      <w:tr>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Historias con criterios de aceptación cumplidos</w:t>
            </w:r>
          </w:p>
        </w:tc>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100% antes de cierre de sprint</w:t>
            </w:r>
          </w:p>
        </w:tc>
      </w:tr>
      <w:tr>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Casos de prueba críticos (pago, facturación, pedidos)</w:t>
            </w:r>
          </w:p>
        </w:tc>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100% aprobados antes del Go-Live</w:t>
            </w:r>
          </w:p>
        </w:tc>
      </w:tr>
      <w:tr>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Errores críticos abiertos al Go-Live</w:t>
            </w:r>
          </w:p>
        </w:tc>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Transacciones de prueba en sandbox MP / OpenFactura</w:t>
            </w:r>
          </w:p>
        </w:tc>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100% antes de producción</w:t>
            </w:r>
          </w:p>
        </w:tc>
      </w:tr>
      <w:tr>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Rendimiento web — Lighthouse / Core Web Vitals</w:t>
            </w:r>
          </w:p>
        </w:tc>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Lighthouse ≥ 90; LCP ≤ 2,5 s en móvil</w:t>
            </w:r>
          </w:p>
        </w:tc>
      </w:tr>
      <w:tr>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Tiempo de respuesta para crear un pedido (RNF-03)</w:t>
            </w:r>
          </w:p>
        </w:tc>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 5 segundos</w:t>
            </w:r>
          </w:p>
        </w:tc>
      </w:tr>
      <w:tr>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Disponibilidad en horario de operación (RNF-06)</w:t>
            </w:r>
          </w:p>
        </w:tc>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Monitoreo activo; sin pausas por inactividad</w:t>
            </w:r>
          </w:p>
        </w:tc>
      </w:tr>
      <w:tr>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Incidentes de seguridad en pruebas (RNF-04)</w:t>
            </w:r>
          </w:p>
        </w:tc>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0</w:t>
            </w:r>
          </w:p>
        </w:tc>
      </w:tr>
    </w:tbl>
    <w:p>
      <w:pPr>
        <w:pStyle w:val="Heading2"/>
        <w:spacing w:after="80" w:before="190"/>
      </w:pPr>
      <w:r>
        <w:rPr>
          <w:b/>
          <w:bCs/>
          <w:color w:val="2E5496"/>
          <w:sz w:val="22"/>
          <w:szCs w:val="22"/>
        </w:rPr>
        <w:t xml:space="preserve">7. Aseguramiento de la calidad</w:t>
      </w:r>
    </w:p>
    <w:p>
      <w:pPr>
        <w:pStyle w:val="ListParagraph"/>
        <w:numPr>
          <w:ilvl w:val="0"/>
          <w:numId w:val="1"/>
        </w:numPr>
        <w:spacing w:after="60" w:line="270"/>
      </w:pPr>
      <w:r>
        <w:rPr>
          <w:sz w:val="21"/>
          <w:szCs w:val="21"/>
        </w:rPr>
        <w:t xml:space="preserve">Revisión cruzada de código (pull requests) antes de integrar a la rama principal.</w:t>
      </w:r>
    </w:p>
    <w:p>
      <w:pPr>
        <w:pStyle w:val="ListParagraph"/>
        <w:numPr>
          <w:ilvl w:val="0"/>
          <w:numId w:val="1"/>
        </w:numPr>
        <w:spacing w:after="60" w:line="270"/>
      </w:pPr>
      <w:r>
        <w:rPr>
          <w:sz w:val="21"/>
          <w:szCs w:val="21"/>
        </w:rPr>
        <w:t xml:space="preserve">Criterios de aceptación por historia antes de iniciar su desarrollo.</w:t>
      </w:r>
    </w:p>
    <w:p>
      <w:pPr>
        <w:pStyle w:val="ListParagraph"/>
        <w:numPr>
          <w:ilvl w:val="0"/>
          <w:numId w:val="1"/>
        </w:numPr>
        <w:spacing w:after="60" w:line="270"/>
      </w:pPr>
      <w:r>
        <w:rPr>
          <w:sz w:val="21"/>
          <w:szCs w:val="21"/>
        </w:rPr>
        <w:t xml:space="preserve">Sprint dedicado y temprano para validar OpenFactura en certificación.</w:t>
      </w:r>
    </w:p>
    <w:p>
      <w:pPr>
        <w:pStyle w:val="ListParagraph"/>
        <w:numPr>
          <w:ilvl w:val="0"/>
          <w:numId w:val="1"/>
        </w:numPr>
        <w:spacing w:after="60" w:line="270"/>
      </w:pPr>
      <w:r>
        <w:rPr>
          <w:sz w:val="21"/>
          <w:szCs w:val="21"/>
        </w:rPr>
        <w:t xml:space="preserve">Prototipo temprano de la integración HTML/JS ↔ Supabase. </w:t>
      </w:r>
      <w:r>
        <w:rPr>
          <w:i/>
          <w:iCs/>
          <w:color w:val="595959"/>
          <w:sz w:val="19"/>
          <w:szCs w:val="19"/>
        </w:rPr>
        <w:t xml:space="preserve">(Ajustado por SC-02.)</w:t>
      </w:r>
    </w:p>
    <w:p>
      <w:pPr>
        <w:pStyle w:val="Heading2"/>
        <w:spacing w:after="80" w:before="190"/>
      </w:pPr>
      <w:r>
        <w:rPr>
          <w:b/>
          <w:bCs/>
          <w:color w:val="2E5496"/>
          <w:sz w:val="22"/>
          <w:szCs w:val="22"/>
        </w:rPr>
        <w:t xml:space="preserve">8. Control de la calidad (pruebas)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4360"/>
        <w:gridCol w:w="2600"/>
      </w:tblGrid>
      <w:tr>
        <w:trPr>
          <w:tblHeader/>
        </w:trPr>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Tipo de prueba</w:t>
            </w:r>
          </w:p>
        </w:tc>
        <w:tc>
          <w:tcPr>
            <w:tcW w:type="dxa" w:w="4360"/>
            <w:shd w:fill="1F3864" w:color="auto" w:val="clear"/>
            <w:tcMar>
              <w:top w:type="dxa" w:w="55"/>
              <w:left w:type="dxa" w:w="85"/>
              <w:bottom w:type="dxa" w:w="55"/>
              <w:right w:type="dxa" w:w="85"/>
            </w:tcMar>
          </w:tcPr>
          <w:p>
            <w:pPr>
              <w:spacing w:after="0" w:line="256"/>
            </w:pPr>
            <w:r>
              <w:rPr>
                <w:b/>
                <w:bCs/>
                <w:color w:val="FFFFFF"/>
                <w:sz w:val="19"/>
                <w:szCs w:val="19"/>
              </w:rPr>
              <w:t xml:space="preserve">Alcance</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Momento</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Unitarias</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Cálculo de puntos, descuentos, tarifas por zona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Durante cada sprint</w:t>
            </w:r>
          </w:p>
        </w:tc>
      </w:tr>
      <w:tr>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Integración</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Flujo carrito → Mercado Pago → OpenFactura</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Sprint de integraciones y previo a Go-Live</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Rendimiento / web</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Lighthouse y Core Web Vitals, carga móvil, ≤5 s (RNF-03)</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Previo a Go-Live</w:t>
            </w:r>
          </w:p>
        </w:tc>
      </w:tr>
      <w:tr>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Seguridad</w:t>
            </w:r>
          </w:p>
        </w:tc>
        <w:tc>
          <w:tcPr>
            <w:tcW w:type="dxa" w:w="4360"/>
            <w:shd w:fill="F2F5FB" w:color="auto" w:val="clear"/>
            <w:tcMar>
              <w:top w:type="dxa" w:w="55"/>
              <w:left w:type="dxa" w:w="85"/>
              <w:bottom w:type="dxa" w:w="55"/>
              <w:right w:type="dxa" w:w="85"/>
            </w:tcMar>
          </w:tcPr>
          <w:p>
            <w:pPr>
              <w:spacing w:after="0" w:line="256"/>
            </w:pPr>
            <w:r>
              <w:rPr>
                <w:color w:val="000000"/>
                <w:sz w:val="19"/>
                <w:szCs w:val="19"/>
              </w:rPr>
              <w:t xml:space="preserve">RLS, HTTPS, control de acceso (RNF-04)</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Previo a Go-Live</w:t>
            </w:r>
          </w:p>
        </w:tc>
      </w:tr>
      <w:tr>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Aceptación (UAT)</w:t>
            </w:r>
          </w:p>
        </w:tc>
        <w:tc>
          <w:tcPr>
            <w:tcW w:type="dxa" w:w="4360"/>
            <w:shd w:fill="FFFFFF" w:color="auto" w:val="clear"/>
            <w:tcMar>
              <w:top w:type="dxa" w:w="55"/>
              <w:left w:type="dxa" w:w="85"/>
              <w:bottom w:type="dxa" w:w="55"/>
              <w:right w:type="dxa" w:w="85"/>
            </w:tcMar>
          </w:tcPr>
          <w:p>
            <w:pPr>
              <w:spacing w:after="0" w:line="256"/>
            </w:pPr>
            <w:r>
              <w:rPr>
                <w:color w:val="000000"/>
                <w:sz w:val="19"/>
                <w:szCs w:val="19"/>
              </w:rPr>
              <w:t xml:space="preserve">Flujo operativo validado por Iván</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Semana previa al Go-Live</w:t>
            </w:r>
          </w:p>
        </w:tc>
      </w:tr>
    </w:tbl>
    <w:p>
      <w:pPr>
        <w:pStyle w:val="Heading1"/>
        <w:spacing w:after="100" w:before="250"/>
      </w:pPr>
      <w:r>
        <w:rPr>
          <w:b/>
          <w:bCs/>
          <w:color w:val="1F3864"/>
          <w:sz w:val="25"/>
          <w:szCs w:val="25"/>
        </w:rPr>
        <w:t xml:space="preserve">Plan de Gestión de los Recursos</w:t>
      </w:r>
    </w:p>
    <w:p>
      <w:pPr>
        <w:pStyle w:val="Heading2"/>
        <w:spacing w:after="80" w:before="190"/>
      </w:pPr>
      <w:r>
        <w:rPr>
          <w:b/>
          <w:bCs/>
          <w:color w:val="2E5496"/>
          <w:sz w:val="22"/>
          <w:szCs w:val="22"/>
        </w:rPr>
        <w:t xml:space="preserve">1. Propósito</w:t>
      </w:r>
    </w:p>
    <w:p>
      <w:pPr>
        <w:spacing w:after="120" w:line="274"/>
      </w:pPr>
      <w:r>
        <w:rPr>
          <w:sz w:val="21"/>
          <w:szCs w:val="21"/>
        </w:rPr>
        <w:t xml:space="preserve">Define cómo se identifican, asignan, desarrollan y controlan los recursos —humanos, tecnológicos y de infraestructura—. El equipo es fijo (tres integrantes con liderazgo rotativo).</w:t>
      </w:r>
    </w:p>
    <w:p>
      <w:pPr>
        <w:pStyle w:val="Heading2"/>
        <w:spacing w:after="80" w:before="190"/>
      </w:pPr>
      <w:r>
        <w:rPr>
          <w:b/>
          <w:bCs/>
          <w:color w:val="2E5496"/>
          <w:sz w:val="22"/>
          <w:szCs w:val="22"/>
        </w:rPr>
        <w:t xml:space="preserve">2. Introducción</w:t>
      </w:r>
    </w:p>
    <w:p>
      <w:pPr>
        <w:spacing w:after="120" w:line="274"/>
      </w:pPr>
      <w:r>
        <w:rPr>
          <w:sz w:val="21"/>
          <w:szCs w:val="21"/>
        </w:rPr>
        <w:t xml:space="preserve">Equipo full-stack rotativo: los tres participan en frontend y backend, rotando el liderazgo de sprint. El patrocinador (Iván) es la autoridad de escalamiento.</w:t>
      </w:r>
    </w:p>
    <w:p>
      <w:pPr>
        <w:pStyle w:val="Heading2"/>
        <w:spacing w:after="80" w:before="190"/>
      </w:pPr>
      <w:r>
        <w:rPr>
          <w:b/>
          <w:bCs/>
          <w:color w:val="2E5496"/>
          <w:sz w:val="22"/>
          <w:szCs w:val="22"/>
        </w:rPr>
        <w:t xml:space="preserve">3. Recursos tecnológicos y de infraestructura preasignados</w:t>
      </w:r>
    </w:p>
    <w:p>
      <w:pPr>
        <w:pStyle w:val="ListParagraph"/>
        <w:numPr>
          <w:ilvl w:val="0"/>
          <w:numId w:val="1"/>
        </w:numPr>
        <w:spacing w:after="60" w:line="270"/>
      </w:pPr>
      <w:r>
        <w:rPr>
          <w:sz w:val="21"/>
          <w:szCs w:val="21"/>
        </w:rPr>
        <w:t xml:space="preserve">Repositorio GitHub (Grupo N3) + GitHub Projects (Kanban).</w:t>
      </w:r>
    </w:p>
    <w:p>
      <w:pPr>
        <w:pStyle w:val="ListParagraph"/>
        <w:numPr>
          <w:ilvl w:val="0"/>
          <w:numId w:val="1"/>
        </w:numPr>
        <w:spacing w:after="60" w:line="270"/>
      </w:pPr>
      <w:r>
        <w:rPr>
          <w:sz w:val="21"/>
          <w:szCs w:val="21"/>
        </w:rPr>
        <w:t xml:space="preserve">Supabase (PostgreSQL, Auth, Edge Functions) — plan gratuito (SC-04).</w:t>
      </w:r>
    </w:p>
    <w:p>
      <w:pPr>
        <w:pStyle w:val="ListParagraph"/>
        <w:numPr>
          <w:ilvl w:val="0"/>
          <w:numId w:val="1"/>
        </w:numPr>
        <w:spacing w:after="60" w:line="270"/>
      </w:pPr>
      <w:r>
        <w:rPr>
          <w:sz w:val="21"/>
          <w:szCs w:val="21"/>
        </w:rPr>
        <w:t xml:space="preserve">HTML5, CSS3 y JavaScript (frontend) y Figma (diseño). </w:t>
      </w:r>
      <w:r>
        <w:rPr>
          <w:i/>
          <w:iCs/>
          <w:color w:val="595959"/>
          <w:sz w:val="19"/>
          <w:szCs w:val="19"/>
        </w:rPr>
        <w:t xml:space="preserve">(Frontend actualizado por SC-02.)</w:t>
      </w:r>
    </w:p>
    <w:p>
      <w:pPr>
        <w:pStyle w:val="ListParagraph"/>
        <w:numPr>
          <w:ilvl w:val="0"/>
          <w:numId w:val="1"/>
        </w:numPr>
        <w:spacing w:after="60" w:line="270"/>
      </w:pPr>
      <w:r>
        <w:rPr>
          <w:sz w:val="21"/>
          <w:szCs w:val="21"/>
        </w:rPr>
        <w:t xml:space="preserve">Docker (contenerización y despliegue); Mercado Pago y OpenFactura (servicios de terceros).</w:t>
      </w:r>
    </w:p>
    <w:p>
      <w:pPr>
        <w:pStyle w:val="Heading2"/>
        <w:spacing w:after="80" w:before="190"/>
      </w:pPr>
      <w:r>
        <w:rPr>
          <w:b/>
          <w:bCs/>
          <w:color w:val="2E5496"/>
          <w:sz w:val="22"/>
          <w:szCs w:val="22"/>
        </w:rPr>
        <w:t xml:space="preserve">4. Matriz de asignación de responsabilidades (RACI)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160"/>
        <w:gridCol w:w="1300"/>
        <w:gridCol w:w="1300"/>
        <w:gridCol w:w="1300"/>
        <w:gridCol w:w="1300"/>
      </w:tblGrid>
      <w:tr>
        <w:trPr>
          <w:tblHeader/>
        </w:trPr>
        <w:tc>
          <w:tcPr>
            <w:tcW w:type="dxa" w:w="4160"/>
            <w:shd w:fill="1F3864" w:color="auto" w:val="clear"/>
            <w:tcMar>
              <w:top w:type="dxa" w:w="55"/>
              <w:left w:type="dxa" w:w="85"/>
              <w:bottom w:type="dxa" w:w="55"/>
              <w:right w:type="dxa" w:w="85"/>
            </w:tcMar>
          </w:tcPr>
          <w:p>
            <w:pPr>
              <w:spacing w:after="0" w:line="256"/>
            </w:pPr>
            <w:r>
              <w:rPr>
                <w:b/>
                <w:bCs/>
                <w:color w:val="FFFFFF"/>
                <w:sz w:val="19"/>
                <w:szCs w:val="19"/>
              </w:rPr>
              <w:t xml:space="preserve">Actividad</w:t>
            </w:r>
          </w:p>
        </w:tc>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Iván</w:t>
            </w:r>
          </w:p>
        </w:tc>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Carlos</w:t>
            </w:r>
          </w:p>
        </w:tc>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Felipe</w:t>
            </w:r>
          </w:p>
        </w:tc>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Docente</w:t>
            </w:r>
          </w:p>
        </w:tc>
      </w:tr>
      <w:tr>
        <w:tc>
          <w:tcPr>
            <w:tcW w:type="dxa" w:w="4160"/>
            <w:shd w:fill="FFFFFF" w:color="auto" w:val="clear"/>
            <w:tcMar>
              <w:top w:type="dxa" w:w="55"/>
              <w:left w:type="dxa" w:w="85"/>
              <w:bottom w:type="dxa" w:w="55"/>
              <w:right w:type="dxa" w:w="85"/>
            </w:tcMar>
          </w:tcPr>
          <w:p>
            <w:pPr>
              <w:spacing w:after="0" w:line="256"/>
            </w:pPr>
            <w:r>
              <w:rPr>
                <w:color w:val="000000"/>
                <w:sz w:val="19"/>
                <w:szCs w:val="19"/>
              </w:rPr>
              <w:t xml:space="preserve">Aprobar planes de gestión</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A</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I</w:t>
            </w:r>
          </w:p>
        </w:tc>
      </w:tr>
      <w:tr>
        <w:tc>
          <w:tcPr>
            <w:tcW w:type="dxa" w:w="4160"/>
            <w:shd w:fill="F2F5FB" w:color="auto" w:val="clear"/>
            <w:tcMar>
              <w:top w:type="dxa" w:w="55"/>
              <w:left w:type="dxa" w:w="85"/>
              <w:bottom w:type="dxa" w:w="55"/>
              <w:right w:type="dxa" w:w="85"/>
            </w:tcMar>
          </w:tcPr>
          <w:p>
            <w:pPr>
              <w:spacing w:after="0" w:line="256"/>
            </w:pPr>
            <w:r>
              <w:rPr>
                <w:color w:val="000000"/>
                <w:sz w:val="19"/>
                <w:szCs w:val="19"/>
              </w:rPr>
              <w:t xml:space="preserve">Definir reglas de negocio</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R/A</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w:t>
            </w:r>
          </w:p>
        </w:tc>
      </w:tr>
      <w:tr>
        <w:tc>
          <w:tcPr>
            <w:tcW w:type="dxa" w:w="4160"/>
            <w:shd w:fill="FFFFFF" w:color="auto" w:val="clear"/>
            <w:tcMar>
              <w:top w:type="dxa" w:w="55"/>
              <w:left w:type="dxa" w:w="85"/>
              <w:bottom w:type="dxa" w:w="55"/>
              <w:right w:type="dxa" w:w="85"/>
            </w:tcMar>
          </w:tcPr>
          <w:p>
            <w:pPr>
              <w:spacing w:after="0" w:line="256"/>
            </w:pPr>
            <w:r>
              <w:rPr>
                <w:color w:val="000000"/>
                <w:sz w:val="19"/>
                <w:szCs w:val="19"/>
              </w:rPr>
              <w:t xml:space="preserve">Arquitectura y modelo de datos</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R/A</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I</w:t>
            </w:r>
          </w:p>
        </w:tc>
      </w:tr>
      <w:tr>
        <w:tc>
          <w:tcPr>
            <w:tcW w:type="dxa" w:w="4160"/>
            <w:shd w:fill="F2F5FB" w:color="auto" w:val="clear"/>
            <w:tcMar>
              <w:top w:type="dxa" w:w="55"/>
              <w:left w:type="dxa" w:w="85"/>
              <w:bottom w:type="dxa" w:w="55"/>
              <w:right w:type="dxa" w:w="85"/>
            </w:tcMar>
          </w:tcPr>
          <w:p>
            <w:pPr>
              <w:spacing w:after="0" w:line="256"/>
            </w:pPr>
            <w:r>
              <w:rPr>
                <w:color w:val="000000"/>
                <w:sz w:val="19"/>
                <w:szCs w:val="19"/>
              </w:rPr>
              <w:t xml:space="preserve">Diseño de interfaz (Figma)</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R/A</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w:t>
            </w:r>
          </w:p>
        </w:tc>
      </w:tr>
      <w:tr>
        <w:tc>
          <w:tcPr>
            <w:tcW w:type="dxa" w:w="4160"/>
            <w:shd w:fill="FFFFFF" w:color="auto" w:val="clear"/>
            <w:tcMar>
              <w:top w:type="dxa" w:w="55"/>
              <w:left w:type="dxa" w:w="85"/>
              <w:bottom w:type="dxa" w:w="55"/>
              <w:right w:type="dxa" w:w="85"/>
            </w:tcMar>
          </w:tcPr>
          <w:p>
            <w:pPr>
              <w:spacing w:after="0" w:line="256"/>
            </w:pPr>
            <w:r>
              <w:rPr>
                <w:color w:val="000000"/>
                <w:sz w:val="19"/>
                <w:szCs w:val="19"/>
              </w:rPr>
              <w:t xml:space="preserve">Desarrollo full-stack (sprints)</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w:t>
            </w:r>
          </w:p>
        </w:tc>
      </w:tr>
      <w:tr>
        <w:tc>
          <w:tcPr>
            <w:tcW w:type="dxa" w:w="4160"/>
            <w:shd w:fill="F2F5FB" w:color="auto" w:val="clear"/>
            <w:tcMar>
              <w:top w:type="dxa" w:w="55"/>
              <w:left w:type="dxa" w:w="85"/>
              <w:bottom w:type="dxa" w:w="55"/>
              <w:right w:type="dxa" w:w="85"/>
            </w:tcMar>
          </w:tcPr>
          <w:p>
            <w:pPr>
              <w:spacing w:after="0" w:line="256"/>
            </w:pPr>
            <w:r>
              <w:rPr>
                <w:color w:val="000000"/>
                <w:sz w:val="19"/>
                <w:szCs w:val="19"/>
              </w:rPr>
              <w:t xml:space="preserve">Integración MP / OpenFactura</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R/A</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w:t>
            </w:r>
          </w:p>
        </w:tc>
      </w:tr>
      <w:tr>
        <w:tc>
          <w:tcPr>
            <w:tcW w:type="dxa" w:w="4160"/>
            <w:shd w:fill="FFFFFF" w:color="auto" w:val="clear"/>
            <w:tcMar>
              <w:top w:type="dxa" w:w="55"/>
              <w:left w:type="dxa" w:w="85"/>
              <w:bottom w:type="dxa" w:w="55"/>
              <w:right w:type="dxa" w:w="85"/>
            </w:tcMar>
          </w:tcPr>
          <w:p>
            <w:pPr>
              <w:spacing w:after="0" w:line="256"/>
            </w:pPr>
            <w:r>
              <w:rPr>
                <w:color w:val="000000"/>
                <w:sz w:val="19"/>
                <w:szCs w:val="19"/>
              </w:rPr>
              <w:t xml:space="preserve">Pruebas de aceptación (UAT)</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R/A</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C</w:t>
            </w:r>
          </w:p>
        </w:tc>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w:t>
            </w:r>
          </w:p>
        </w:tc>
      </w:tr>
      <w:tr>
        <w:tc>
          <w:tcPr>
            <w:tcW w:type="dxa" w:w="4160"/>
            <w:shd w:fill="F2F5FB" w:color="auto" w:val="clear"/>
            <w:tcMar>
              <w:top w:type="dxa" w:w="55"/>
              <w:left w:type="dxa" w:w="85"/>
              <w:bottom w:type="dxa" w:w="55"/>
              <w:right w:type="dxa" w:w="85"/>
            </w:tcMar>
          </w:tcPr>
          <w:p>
            <w:pPr>
              <w:spacing w:after="0" w:line="256"/>
            </w:pPr>
            <w:r>
              <w:rPr>
                <w:color w:val="000000"/>
                <w:sz w:val="19"/>
                <w:szCs w:val="19"/>
              </w:rPr>
              <w:t xml:space="preserve">Aprobación de hitos académicos</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I</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I</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I</w:t>
            </w:r>
          </w:p>
        </w:tc>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A</w:t>
            </w:r>
          </w:p>
        </w:tc>
      </w:tr>
    </w:tbl>
    <w:p>
      <w:pPr>
        <w:spacing w:after="120" w:line="274"/>
      </w:pPr>
      <w:r>
        <w:rPr>
          <w:i/>
          <w:iCs/>
          <w:color w:val="595959"/>
          <w:sz w:val="19"/>
          <w:szCs w:val="19"/>
        </w:rPr>
        <w:t xml:space="preserve">R = Responsable · A = Aprueba / rinde cuentas · C = Consultado · I = Informado.</w:t>
      </w:r>
    </w:p>
    <w:p>
      <w:pPr>
        <w:pStyle w:val="Heading2"/>
        <w:spacing w:after="80" w:before="190"/>
      </w:pPr>
      <w:r>
        <w:rPr>
          <w:b/>
          <w:bCs/>
          <w:color w:val="2E5496"/>
          <w:sz w:val="22"/>
          <w:szCs w:val="22"/>
        </w:rPr>
        <w:t xml:space="preserve">5. Desarrollo del equipo</w:t>
      </w:r>
    </w:p>
    <w:p>
      <w:pPr>
        <w:pStyle w:val="ListParagraph"/>
        <w:numPr>
          <w:ilvl w:val="0"/>
          <w:numId w:val="1"/>
        </w:numPr>
        <w:spacing w:after="60" w:line="270"/>
      </w:pPr>
      <w:r>
        <w:rPr>
          <w:sz w:val="21"/>
          <w:szCs w:val="21"/>
        </w:rPr>
        <w:t xml:space="preserve">Prototipos tempranos de la integración HTML/JS ↔ Supabase como aprendizaje aplicado. </w:t>
      </w:r>
      <w:r>
        <w:rPr>
          <w:i/>
          <w:iCs/>
          <w:color w:val="595959"/>
          <w:sz w:val="19"/>
          <w:szCs w:val="19"/>
        </w:rPr>
        <w:t xml:space="preserve">(Ajustado por SC-02; se retira la capacitación en Flutter/Dart.)</w:t>
      </w:r>
    </w:p>
    <w:p>
      <w:pPr>
        <w:pStyle w:val="ListParagraph"/>
        <w:numPr>
          <w:ilvl w:val="0"/>
          <w:numId w:val="1"/>
        </w:numPr>
        <w:spacing w:after="60" w:line="270"/>
      </w:pPr>
      <w:r>
        <w:rPr>
          <w:sz w:val="21"/>
          <w:szCs w:val="21"/>
        </w:rPr>
        <w:t xml:space="preserve">Revisión cruzada de código y rotación de liderazgo de sprint como desarrollo de habilidades.</w:t>
      </w:r>
    </w:p>
    <w:p>
      <w:pPr>
        <w:pStyle w:val="Heading1"/>
        <w:spacing w:after="100" w:before="250"/>
      </w:pPr>
      <w:r>
        <w:rPr>
          <w:b/>
          <w:bCs/>
          <w:color w:val="1F3864"/>
          <w:sz w:val="25"/>
          <w:szCs w:val="25"/>
        </w:rPr>
        <w:t xml:space="preserve">Plan de Gestión de las Comunicaciones</w:t>
      </w:r>
    </w:p>
    <w:p>
      <w:pPr>
        <w:pStyle w:val="Heading2"/>
        <w:spacing w:after="80" w:before="190"/>
      </w:pPr>
      <w:r>
        <w:rPr>
          <w:b/>
          <w:bCs/>
          <w:color w:val="2E5496"/>
          <w:sz w:val="22"/>
          <w:szCs w:val="22"/>
        </w:rPr>
        <w:t xml:space="preserve">1. Propósito</w:t>
      </w:r>
    </w:p>
    <w:p>
      <w:pPr>
        <w:spacing w:after="120" w:line="274"/>
      </w:pPr>
      <w:r>
        <w:rPr>
          <w:sz w:val="21"/>
          <w:szCs w:val="21"/>
        </w:rPr>
        <w:t xml:space="preserve">Asegura que la información relevante se genere, distribuya y confirme oportunamente entre los interesados, considerando un equipo reducido, un patrocinador que es a la vez integrante, y un interesado externo de evaluación (docente guía).</w:t>
      </w:r>
    </w:p>
    <w:p>
      <w:pPr>
        <w:pStyle w:val="Heading2"/>
        <w:spacing w:after="80" w:before="190"/>
      </w:pPr>
      <w:r>
        <w:rPr>
          <w:b/>
          <w:bCs/>
          <w:color w:val="2E5496"/>
          <w:sz w:val="22"/>
          <w:szCs w:val="22"/>
        </w:rPr>
        <w:t xml:space="preserve">2. Tabla de requerimientos de comunicación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2200"/>
        <w:gridCol w:w="1800"/>
        <w:gridCol w:w="3160"/>
      </w:tblGrid>
      <w:tr>
        <w:trPr>
          <w:tblHeader/>
        </w:trPr>
        <w:tc>
          <w:tcPr>
            <w:tcW w:type="dxa" w:w="2200"/>
            <w:shd w:fill="1F3864" w:color="auto" w:val="clear"/>
            <w:tcMar>
              <w:top w:type="dxa" w:w="55"/>
              <w:left w:type="dxa" w:w="85"/>
              <w:bottom w:type="dxa" w:w="55"/>
              <w:right w:type="dxa" w:w="85"/>
            </w:tcMar>
          </w:tcPr>
          <w:p>
            <w:pPr>
              <w:spacing w:after="0" w:line="256"/>
            </w:pPr>
            <w:r>
              <w:rPr>
                <w:b/>
                <w:bCs/>
                <w:color w:val="FFFFFF"/>
                <w:sz w:val="19"/>
                <w:szCs w:val="19"/>
              </w:rPr>
              <w:t xml:space="preserve">Comunicación</w:t>
            </w:r>
          </w:p>
        </w:tc>
        <w:tc>
          <w:tcPr>
            <w:tcW w:type="dxa" w:w="2200"/>
            <w:shd w:fill="1F3864" w:color="auto" w:val="clear"/>
            <w:tcMar>
              <w:top w:type="dxa" w:w="55"/>
              <w:left w:type="dxa" w:w="85"/>
              <w:bottom w:type="dxa" w:w="55"/>
              <w:right w:type="dxa" w:w="85"/>
            </w:tcMar>
          </w:tcPr>
          <w:p>
            <w:pPr>
              <w:spacing w:after="0" w:line="256"/>
            </w:pPr>
            <w:r>
              <w:rPr>
                <w:b/>
                <w:bCs/>
                <w:color w:val="FFFFFF"/>
                <w:sz w:val="19"/>
                <w:szCs w:val="19"/>
              </w:rPr>
              <w:t xml:space="preserve">Medio</w:t>
            </w:r>
          </w:p>
        </w:tc>
        <w:tc>
          <w:tcPr>
            <w:tcW w:type="dxa" w:w="1800"/>
            <w:shd w:fill="1F3864" w:color="auto" w:val="clear"/>
            <w:tcMar>
              <w:top w:type="dxa" w:w="55"/>
              <w:left w:type="dxa" w:w="85"/>
              <w:bottom w:type="dxa" w:w="55"/>
              <w:right w:type="dxa" w:w="85"/>
            </w:tcMar>
          </w:tcPr>
          <w:p>
            <w:pPr>
              <w:spacing w:after="0" w:line="256"/>
            </w:pPr>
            <w:r>
              <w:rPr>
                <w:b/>
                <w:bCs/>
                <w:color w:val="FFFFFF"/>
                <w:sz w:val="19"/>
                <w:szCs w:val="19"/>
              </w:rPr>
              <w:t xml:space="preserve">Frecuencia</w:t>
            </w:r>
          </w:p>
        </w:tc>
        <w:tc>
          <w:tcPr>
            <w:tcW w:type="dxa" w:w="3160"/>
            <w:shd w:fill="1F3864" w:color="auto" w:val="clear"/>
            <w:tcMar>
              <w:top w:type="dxa" w:w="55"/>
              <w:left w:type="dxa" w:w="85"/>
              <w:bottom w:type="dxa" w:w="55"/>
              <w:right w:type="dxa" w:w="85"/>
            </w:tcMar>
          </w:tcPr>
          <w:p>
            <w:pPr>
              <w:spacing w:after="0" w:line="256"/>
            </w:pPr>
            <w:r>
              <w:rPr>
                <w:b/>
                <w:bCs/>
                <w:color w:val="FFFFFF"/>
                <w:sz w:val="19"/>
                <w:szCs w:val="19"/>
              </w:rPr>
              <w:t xml:space="preserve">Responsable / Audiencia</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Sprint Review</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Presencial / videollamada</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Cada 2 semanas</w:t>
            </w:r>
          </w:p>
        </w:tc>
        <w:tc>
          <w:tcPr>
            <w:tcW w:type="dxa" w:w="3160"/>
            <w:shd w:fill="FFFFFF" w:color="auto" w:val="clear"/>
            <w:tcMar>
              <w:top w:type="dxa" w:w="55"/>
              <w:left w:type="dxa" w:w="85"/>
              <w:bottom w:type="dxa" w:w="55"/>
              <w:right w:type="dxa" w:w="85"/>
            </w:tcMar>
          </w:tcPr>
          <w:p>
            <w:pPr>
              <w:spacing w:after="0" w:line="256"/>
            </w:pPr>
            <w:r>
              <w:rPr>
                <w:color w:val="000000"/>
                <w:sz w:val="19"/>
                <w:szCs w:val="19"/>
              </w:rPr>
              <w:t xml:space="preserve">Líder de sprint → Equipo + patrocinador</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Tablero Kanban</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GitHub Projects</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Continua</w:t>
            </w:r>
          </w:p>
        </w:tc>
        <w:tc>
          <w:tcPr>
            <w:tcW w:type="dxa" w:w="3160"/>
            <w:shd w:fill="F2F5FB" w:color="auto" w:val="clear"/>
            <w:tcMar>
              <w:top w:type="dxa" w:w="55"/>
              <w:left w:type="dxa" w:w="85"/>
              <w:bottom w:type="dxa" w:w="55"/>
              <w:right w:type="dxa" w:w="85"/>
            </w:tcMar>
          </w:tcPr>
          <w:p>
            <w:pPr>
              <w:spacing w:after="0" w:line="256"/>
            </w:pPr>
            <w:r>
              <w:rPr>
                <w:color w:val="000000"/>
                <w:sz w:val="19"/>
                <w:szCs w:val="19"/>
              </w:rPr>
              <w:t xml:space="preserve">Todo el equipo</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Coordinación diaria</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WhatsApp</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Diaria / según necesidad</w:t>
            </w:r>
          </w:p>
        </w:tc>
        <w:tc>
          <w:tcPr>
            <w:tcW w:type="dxa" w:w="3160"/>
            <w:shd w:fill="FFFFFF" w:color="auto" w:val="clear"/>
            <w:tcMar>
              <w:top w:type="dxa" w:w="55"/>
              <w:left w:type="dxa" w:w="85"/>
              <w:bottom w:type="dxa" w:w="55"/>
              <w:right w:type="dxa" w:w="85"/>
            </w:tcMar>
          </w:tcPr>
          <w:p>
            <w:pPr>
              <w:spacing w:after="0" w:line="256"/>
            </w:pPr>
            <w:r>
              <w:rPr>
                <w:color w:val="000000"/>
                <w:sz w:val="19"/>
                <w:szCs w:val="19"/>
              </w:rPr>
              <w:t xml:space="preserve">Todo el equipo</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Reporte de avance académico</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Entrega formal / correo Duoc</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Según calendario del curso</w:t>
            </w:r>
          </w:p>
        </w:tc>
        <w:tc>
          <w:tcPr>
            <w:tcW w:type="dxa" w:w="3160"/>
            <w:shd w:fill="F2F5FB" w:color="auto" w:val="clear"/>
            <w:tcMar>
              <w:top w:type="dxa" w:w="55"/>
              <w:left w:type="dxa" w:w="85"/>
              <w:bottom w:type="dxa" w:w="55"/>
              <w:right w:type="dxa" w:w="85"/>
            </w:tcMar>
          </w:tcPr>
          <w:p>
            <w:pPr>
              <w:spacing w:after="0" w:line="256"/>
            </w:pPr>
            <w:r>
              <w:rPr>
                <w:color w:val="000000"/>
                <w:sz w:val="19"/>
                <w:szCs w:val="19"/>
              </w:rPr>
              <w:t xml:space="preserve">Líder de sprint → Docente guía</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Solicitud de cambio</w:t>
            </w:r>
          </w:p>
        </w:tc>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Formato de SC (anexo)</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Ad hoc</w:t>
            </w:r>
          </w:p>
        </w:tc>
        <w:tc>
          <w:tcPr>
            <w:tcW w:type="dxa" w:w="3160"/>
            <w:shd w:fill="FFFFFF" w:color="auto" w:val="clear"/>
            <w:tcMar>
              <w:top w:type="dxa" w:w="55"/>
              <w:left w:type="dxa" w:w="85"/>
              <w:bottom w:type="dxa" w:w="55"/>
              <w:right w:type="dxa" w:w="85"/>
            </w:tcMar>
          </w:tcPr>
          <w:p>
            <w:pPr>
              <w:spacing w:after="0" w:line="256"/>
            </w:pPr>
            <w:r>
              <w:rPr>
                <w:color w:val="000000"/>
                <w:sz w:val="19"/>
                <w:szCs w:val="19"/>
              </w:rPr>
              <w:t xml:space="preserve">Solicitante → Patrocinador + equipo</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Aviso de migración / Go-Live</w:t>
            </w:r>
          </w:p>
        </w:tc>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Tienda/redes, WhatsApp Business</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Puntual (previo al 21-nov)</w:t>
            </w:r>
          </w:p>
        </w:tc>
        <w:tc>
          <w:tcPr>
            <w:tcW w:type="dxa" w:w="3160"/>
            <w:shd w:fill="F2F5FB" w:color="auto" w:val="clear"/>
            <w:tcMar>
              <w:top w:type="dxa" w:w="55"/>
              <w:left w:type="dxa" w:w="85"/>
              <w:bottom w:type="dxa" w:w="55"/>
              <w:right w:type="dxa" w:w="85"/>
            </w:tcMar>
          </w:tcPr>
          <w:p>
            <w:pPr>
              <w:spacing w:after="0" w:line="256"/>
            </w:pPr>
            <w:r>
              <w:rPr>
                <w:color w:val="000000"/>
                <w:sz w:val="19"/>
                <w:szCs w:val="19"/>
              </w:rPr>
              <w:t xml:space="preserve">Iván → Clientes de Befine</w:t>
            </w:r>
          </w:p>
        </w:tc>
      </w:tr>
    </w:tbl>
    <w:p>
      <w:pPr>
        <w:pStyle w:val="Heading2"/>
        <w:spacing w:after="80" w:before="190"/>
      </w:pPr>
      <w:r>
        <w:rPr>
          <w:b/>
          <w:bCs/>
          <w:color w:val="2E5496"/>
          <w:sz w:val="22"/>
          <w:szCs w:val="22"/>
        </w:rPr>
        <w:t xml:space="preserve">3. Proceso de escalamiento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00"/>
        <w:gridCol w:w="5000"/>
        <w:gridCol w:w="3160"/>
      </w:tblGrid>
      <w:tr>
        <w:trPr>
          <w:tblHeader/>
        </w:trPr>
        <w:tc>
          <w:tcPr>
            <w:tcW w:type="dxa" w:w="1200"/>
            <w:shd w:fill="1F3864" w:color="auto" w:val="clear"/>
            <w:tcMar>
              <w:top w:type="dxa" w:w="55"/>
              <w:left w:type="dxa" w:w="85"/>
              <w:bottom w:type="dxa" w:w="55"/>
              <w:right w:type="dxa" w:w="85"/>
            </w:tcMar>
          </w:tcPr>
          <w:p>
            <w:pPr>
              <w:spacing w:after="0" w:line="256"/>
            </w:pPr>
            <w:r>
              <w:rPr>
                <w:b/>
                <w:bCs/>
                <w:color w:val="FFFFFF"/>
                <w:sz w:val="19"/>
                <w:szCs w:val="19"/>
              </w:rPr>
              <w:t xml:space="preserve">Nivel</w:t>
            </w:r>
          </w:p>
        </w:tc>
        <w:tc>
          <w:tcPr>
            <w:tcW w:type="dxa" w:w="5000"/>
            <w:shd w:fill="1F3864" w:color="auto" w:val="clear"/>
            <w:tcMar>
              <w:top w:type="dxa" w:w="55"/>
              <w:left w:type="dxa" w:w="85"/>
              <w:bottom w:type="dxa" w:w="55"/>
              <w:right w:type="dxa" w:w="85"/>
            </w:tcMar>
          </w:tcPr>
          <w:p>
            <w:pPr>
              <w:spacing w:after="0" w:line="256"/>
            </w:pPr>
            <w:r>
              <w:rPr>
                <w:b/>
                <w:bCs/>
                <w:color w:val="FFFFFF"/>
                <w:sz w:val="19"/>
                <w:szCs w:val="19"/>
              </w:rPr>
              <w:t xml:space="preserve">Situación</w:t>
            </w:r>
          </w:p>
        </w:tc>
        <w:tc>
          <w:tcPr>
            <w:tcW w:type="dxa" w:w="3160"/>
            <w:shd w:fill="1F3864" w:color="auto" w:val="clear"/>
            <w:tcMar>
              <w:top w:type="dxa" w:w="55"/>
              <w:left w:type="dxa" w:w="85"/>
              <w:bottom w:type="dxa" w:w="55"/>
              <w:right w:type="dxa" w:w="85"/>
            </w:tcMar>
          </w:tcPr>
          <w:p>
            <w:pPr>
              <w:spacing w:after="0" w:line="256"/>
            </w:pPr>
            <w:r>
              <w:rPr>
                <w:b/>
                <w:bCs/>
                <w:color w:val="FFFFFF"/>
                <w:sz w:val="19"/>
                <w:szCs w:val="19"/>
              </w:rPr>
              <w:t xml:space="preserve">Escala a</w:t>
            </w:r>
          </w:p>
        </w:tc>
      </w:tr>
      <w:tr>
        <w:tc>
          <w:tcPr>
            <w:tcW w:type="dxa" w:w="1200"/>
            <w:shd w:fill="FFFFFF" w:color="auto" w:val="clear"/>
            <w:tcMar>
              <w:top w:type="dxa" w:w="55"/>
              <w:left w:type="dxa" w:w="85"/>
              <w:bottom w:type="dxa" w:w="55"/>
              <w:right w:type="dxa" w:w="85"/>
            </w:tcMar>
          </w:tcPr>
          <w:p>
            <w:pPr>
              <w:spacing w:after="0" w:line="256"/>
            </w:pPr>
            <w:r>
              <w:rPr>
                <w:color w:val="000000"/>
                <w:sz w:val="19"/>
                <w:szCs w:val="19"/>
              </w:rPr>
              <w:t xml:space="preserve">1</w:t>
            </w:r>
          </w:p>
        </w:tc>
        <w:tc>
          <w:tcPr>
            <w:tcW w:type="dxa" w:w="5000"/>
            <w:shd w:fill="FFFFFF" w:color="auto" w:val="clear"/>
            <w:tcMar>
              <w:top w:type="dxa" w:w="55"/>
              <w:left w:type="dxa" w:w="85"/>
              <w:bottom w:type="dxa" w:w="55"/>
              <w:right w:type="dxa" w:w="85"/>
            </w:tcMar>
          </w:tcPr>
          <w:p>
            <w:pPr>
              <w:spacing w:after="0" w:line="256"/>
            </w:pPr>
            <w:r>
              <w:rPr>
                <w:color w:val="000000"/>
                <w:sz w:val="19"/>
                <w:szCs w:val="19"/>
              </w:rPr>
              <w:t xml:space="preserve">Duda o bloqueo técnico en un área</w:t>
            </w:r>
          </w:p>
        </w:tc>
        <w:tc>
          <w:tcPr>
            <w:tcW w:type="dxa" w:w="3160"/>
            <w:shd w:fill="FFFFFF" w:color="auto" w:val="clear"/>
            <w:tcMar>
              <w:top w:type="dxa" w:w="55"/>
              <w:left w:type="dxa" w:w="85"/>
              <w:bottom w:type="dxa" w:w="55"/>
              <w:right w:type="dxa" w:w="85"/>
            </w:tcMar>
          </w:tcPr>
          <w:p>
            <w:pPr>
              <w:spacing w:after="0" w:line="256"/>
            </w:pPr>
            <w:r>
              <w:rPr>
                <w:color w:val="000000"/>
                <w:sz w:val="19"/>
                <w:szCs w:val="19"/>
              </w:rPr>
              <w:t xml:space="preserve">Responsable del área + líder de sprint</w:t>
            </w:r>
          </w:p>
        </w:tc>
      </w:tr>
      <w:tr>
        <w:tc>
          <w:tcPr>
            <w:tcW w:type="dxa" w:w="1200"/>
            <w:shd w:fill="F2F5FB" w:color="auto" w:val="clear"/>
            <w:tcMar>
              <w:top w:type="dxa" w:w="55"/>
              <w:left w:type="dxa" w:w="85"/>
              <w:bottom w:type="dxa" w:w="55"/>
              <w:right w:type="dxa" w:w="85"/>
            </w:tcMar>
          </w:tcPr>
          <w:p>
            <w:pPr>
              <w:spacing w:after="0" w:line="256"/>
            </w:pPr>
            <w:r>
              <w:rPr>
                <w:color w:val="000000"/>
                <w:sz w:val="19"/>
                <w:szCs w:val="19"/>
              </w:rPr>
              <w:t xml:space="preserve">2</w:t>
            </w:r>
          </w:p>
        </w:tc>
        <w:tc>
          <w:tcPr>
            <w:tcW w:type="dxa" w:w="5000"/>
            <w:shd w:fill="F2F5FB" w:color="auto" w:val="clear"/>
            <w:tcMar>
              <w:top w:type="dxa" w:w="55"/>
              <w:left w:type="dxa" w:w="85"/>
              <w:bottom w:type="dxa" w:w="55"/>
              <w:right w:type="dxa" w:w="85"/>
            </w:tcMar>
          </w:tcPr>
          <w:p>
            <w:pPr>
              <w:spacing w:after="0" w:line="256"/>
            </w:pPr>
            <w:r>
              <w:rPr>
                <w:color w:val="000000"/>
                <w:sz w:val="19"/>
                <w:szCs w:val="19"/>
              </w:rPr>
              <w:t xml:space="preserve">Desacuerdo del equipo sin consenso</w:t>
            </w:r>
          </w:p>
        </w:tc>
        <w:tc>
          <w:tcPr>
            <w:tcW w:type="dxa" w:w="3160"/>
            <w:shd w:fill="F2F5FB" w:color="auto" w:val="clear"/>
            <w:tcMar>
              <w:top w:type="dxa" w:w="55"/>
              <w:left w:type="dxa" w:w="85"/>
              <w:bottom w:type="dxa" w:w="55"/>
              <w:right w:type="dxa" w:w="85"/>
            </w:tcMar>
          </w:tcPr>
          <w:p>
            <w:pPr>
              <w:spacing w:after="0" w:line="256"/>
            </w:pPr>
            <w:r>
              <w:rPr>
                <w:color w:val="000000"/>
                <w:sz w:val="19"/>
                <w:szCs w:val="19"/>
              </w:rPr>
              <w:t xml:space="preserve">Consenso de los tres integrantes</w:t>
            </w:r>
          </w:p>
        </w:tc>
      </w:tr>
      <w:tr>
        <w:tc>
          <w:tcPr>
            <w:tcW w:type="dxa" w:w="1200"/>
            <w:shd w:fill="FFFFFF" w:color="auto" w:val="clear"/>
            <w:tcMar>
              <w:top w:type="dxa" w:w="55"/>
              <w:left w:type="dxa" w:w="85"/>
              <w:bottom w:type="dxa" w:w="55"/>
              <w:right w:type="dxa" w:w="85"/>
            </w:tcMar>
          </w:tcPr>
          <w:p>
            <w:pPr>
              <w:spacing w:after="0" w:line="256"/>
            </w:pPr>
            <w:r>
              <w:rPr>
                <w:color w:val="000000"/>
                <w:sz w:val="19"/>
                <w:szCs w:val="19"/>
              </w:rPr>
              <w:t xml:space="preserve">3</w:t>
            </w:r>
          </w:p>
        </w:tc>
        <w:tc>
          <w:tcPr>
            <w:tcW w:type="dxa" w:w="5000"/>
            <w:shd w:fill="FFFFFF" w:color="auto" w:val="clear"/>
            <w:tcMar>
              <w:top w:type="dxa" w:w="55"/>
              <w:left w:type="dxa" w:w="85"/>
              <w:bottom w:type="dxa" w:w="55"/>
              <w:right w:type="dxa" w:w="85"/>
            </w:tcMar>
          </w:tcPr>
          <w:p>
            <w:pPr>
              <w:spacing w:after="0" w:line="256"/>
            </w:pPr>
            <w:r>
              <w:rPr>
                <w:color w:val="000000"/>
                <w:sz w:val="19"/>
                <w:szCs w:val="19"/>
              </w:rPr>
              <w:t xml:space="preserve">Impacto en alcance, cronograma o presupuesto</w:t>
            </w:r>
          </w:p>
        </w:tc>
        <w:tc>
          <w:tcPr>
            <w:tcW w:type="dxa" w:w="3160"/>
            <w:shd w:fill="FFFFFF" w:color="auto" w:val="clear"/>
            <w:tcMar>
              <w:top w:type="dxa" w:w="55"/>
              <w:left w:type="dxa" w:w="85"/>
              <w:bottom w:type="dxa" w:w="55"/>
              <w:right w:type="dxa" w:w="85"/>
            </w:tcMar>
          </w:tcPr>
          <w:p>
            <w:pPr>
              <w:spacing w:after="0" w:line="256"/>
            </w:pPr>
            <w:r>
              <w:rPr>
                <w:color w:val="000000"/>
                <w:sz w:val="19"/>
                <w:szCs w:val="19"/>
              </w:rPr>
              <w:t xml:space="preserve">Patrocinador (Iván Rodríguez)</w:t>
            </w:r>
          </w:p>
        </w:tc>
      </w:tr>
      <w:tr>
        <w:tc>
          <w:tcPr>
            <w:tcW w:type="dxa" w:w="1200"/>
            <w:shd w:fill="F2F5FB" w:color="auto" w:val="clear"/>
            <w:tcMar>
              <w:top w:type="dxa" w:w="55"/>
              <w:left w:type="dxa" w:w="85"/>
              <w:bottom w:type="dxa" w:w="55"/>
              <w:right w:type="dxa" w:w="85"/>
            </w:tcMar>
          </w:tcPr>
          <w:p>
            <w:pPr>
              <w:spacing w:after="0" w:line="256"/>
            </w:pPr>
            <w:r>
              <w:rPr>
                <w:color w:val="000000"/>
                <w:sz w:val="19"/>
                <w:szCs w:val="19"/>
              </w:rPr>
              <w:t xml:space="preserve">4</w:t>
            </w:r>
          </w:p>
        </w:tc>
        <w:tc>
          <w:tcPr>
            <w:tcW w:type="dxa" w:w="5000"/>
            <w:shd w:fill="F2F5FB" w:color="auto" w:val="clear"/>
            <w:tcMar>
              <w:top w:type="dxa" w:w="55"/>
              <w:left w:type="dxa" w:w="85"/>
              <w:bottom w:type="dxa" w:w="55"/>
              <w:right w:type="dxa" w:w="85"/>
            </w:tcMar>
          </w:tcPr>
          <w:p>
            <w:pPr>
              <w:spacing w:after="0" w:line="256"/>
            </w:pPr>
            <w:r>
              <w:rPr>
                <w:color w:val="000000"/>
                <w:sz w:val="19"/>
                <w:szCs w:val="19"/>
              </w:rPr>
              <w:t xml:space="preserve">Conflicto no resuelto o riesgo académico</w:t>
            </w:r>
          </w:p>
        </w:tc>
        <w:tc>
          <w:tcPr>
            <w:tcW w:type="dxa" w:w="3160"/>
            <w:shd w:fill="F2F5FB" w:color="auto" w:val="clear"/>
            <w:tcMar>
              <w:top w:type="dxa" w:w="55"/>
              <w:left w:type="dxa" w:w="85"/>
              <w:bottom w:type="dxa" w:w="55"/>
              <w:right w:type="dxa" w:w="85"/>
            </w:tcMar>
          </w:tcPr>
          <w:p>
            <w:pPr>
              <w:spacing w:after="0" w:line="256"/>
            </w:pPr>
            <w:r>
              <w:rPr>
                <w:color w:val="000000"/>
                <w:sz w:val="19"/>
                <w:szCs w:val="19"/>
              </w:rPr>
              <w:t xml:space="preserve">Docente guía del curso PTY4614</w:t>
            </w:r>
          </w:p>
        </w:tc>
      </w:tr>
    </w:tbl>
    <w:p>
      <w:pPr>
        <w:pStyle w:val="Heading1"/>
        <w:spacing w:after="100" w:before="250"/>
      </w:pPr>
      <w:r>
        <w:rPr>
          <w:b/>
          <w:bCs/>
          <w:color w:val="1F3864"/>
          <w:sz w:val="25"/>
          <w:szCs w:val="25"/>
        </w:rPr>
        <w:t xml:space="preserve">Plan de Gestión de Riesgos</w:t>
      </w:r>
    </w:p>
    <w:p>
      <w:pPr>
        <w:pStyle w:val="Heading2"/>
        <w:spacing w:after="80" w:before="190"/>
      </w:pPr>
      <w:r>
        <w:rPr>
          <w:b/>
          <w:bCs/>
          <w:color w:val="2E5496"/>
          <w:sz w:val="22"/>
          <w:szCs w:val="22"/>
        </w:rPr>
        <w:t xml:space="preserve">1. Propósito y metodología</w:t>
      </w:r>
    </w:p>
    <w:p>
      <w:pPr>
        <w:spacing w:after="120" w:line="274"/>
      </w:pPr>
      <w:r>
        <w:rPr>
          <w:sz w:val="21"/>
          <w:szCs w:val="21"/>
        </w:rPr>
        <w:t xml:space="preserve">Establece cómo se identifican, analizan, priorizan, responden y controlan los riesgos. Se usa análisis cualitativo de probabilidad e impacto, revisado en cada Sprint Review.</w:t>
      </w:r>
    </w:p>
    <w:p>
      <w:pPr>
        <w:pStyle w:val="Heading2"/>
        <w:spacing w:after="80" w:before="190"/>
      </w:pPr>
      <w:r>
        <w:rPr>
          <w:b/>
          <w:bCs/>
          <w:color w:val="2E5496"/>
          <w:sz w:val="22"/>
          <w:szCs w:val="22"/>
        </w:rPr>
        <w:t xml:space="preserve">2. Registro de riesgos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00"/>
        <w:gridCol w:w="2760"/>
        <w:gridCol w:w="900"/>
        <w:gridCol w:w="900"/>
        <w:gridCol w:w="3300"/>
      </w:tblGrid>
      <w:tr>
        <w:trPr>
          <w:tblHeader/>
        </w:trPr>
        <w:tc>
          <w:tcPr>
            <w:tcW w:type="dxa" w:w="500"/>
            <w:shd w:fill="1F3864" w:color="auto" w:val="clear"/>
            <w:tcMar>
              <w:top w:type="dxa" w:w="55"/>
              <w:left w:type="dxa" w:w="85"/>
              <w:bottom w:type="dxa" w:w="55"/>
              <w:right w:type="dxa" w:w="85"/>
            </w:tcMar>
          </w:tcPr>
          <w:p>
            <w:pPr>
              <w:spacing w:after="0" w:line="256"/>
            </w:pPr>
            <w:r>
              <w:rPr>
                <w:b/>
                <w:bCs/>
                <w:color w:val="FFFFFF"/>
                <w:sz w:val="19"/>
                <w:szCs w:val="19"/>
              </w:rPr>
              <w:t xml:space="preserve">Nro</w:t>
            </w:r>
          </w:p>
        </w:tc>
        <w:tc>
          <w:tcPr>
            <w:tcW w:type="dxa" w:w="2760"/>
            <w:shd w:fill="1F3864" w:color="auto" w:val="clear"/>
            <w:tcMar>
              <w:top w:type="dxa" w:w="55"/>
              <w:left w:type="dxa" w:w="85"/>
              <w:bottom w:type="dxa" w:w="55"/>
              <w:right w:type="dxa" w:w="85"/>
            </w:tcMar>
          </w:tcPr>
          <w:p>
            <w:pPr>
              <w:spacing w:after="0" w:line="256"/>
            </w:pPr>
            <w:r>
              <w:rPr>
                <w:b/>
                <w:bCs/>
                <w:color w:val="FFFFFF"/>
                <w:sz w:val="19"/>
                <w:szCs w:val="19"/>
              </w:rPr>
              <w:t xml:space="preserve">Riesgo (objetivo afectado)</w:t>
            </w:r>
          </w:p>
        </w:tc>
        <w:tc>
          <w:tcPr>
            <w:tcW w:type="dxa" w:w="900"/>
            <w:shd w:fill="1F3864" w:color="auto" w:val="clear"/>
            <w:tcMar>
              <w:top w:type="dxa" w:w="55"/>
              <w:left w:type="dxa" w:w="85"/>
              <w:bottom w:type="dxa" w:w="55"/>
              <w:right w:type="dxa" w:w="85"/>
            </w:tcMar>
          </w:tcPr>
          <w:p>
            <w:pPr>
              <w:spacing w:after="0" w:line="256"/>
            </w:pPr>
            <w:r>
              <w:rPr>
                <w:b/>
                <w:bCs/>
                <w:color w:val="FFFFFF"/>
                <w:sz w:val="19"/>
                <w:szCs w:val="19"/>
              </w:rPr>
              <w:t xml:space="preserve">Prob.</w:t>
            </w:r>
          </w:p>
        </w:tc>
        <w:tc>
          <w:tcPr>
            <w:tcW w:type="dxa" w:w="900"/>
            <w:shd w:fill="1F3864" w:color="auto" w:val="clear"/>
            <w:tcMar>
              <w:top w:type="dxa" w:w="55"/>
              <w:left w:type="dxa" w:w="85"/>
              <w:bottom w:type="dxa" w:w="55"/>
              <w:right w:type="dxa" w:w="85"/>
            </w:tcMar>
          </w:tcPr>
          <w:p>
            <w:pPr>
              <w:spacing w:after="0" w:line="256"/>
            </w:pPr>
            <w:r>
              <w:rPr>
                <w:b/>
                <w:bCs/>
                <w:color w:val="FFFFFF"/>
                <w:sz w:val="19"/>
                <w:szCs w:val="19"/>
              </w:rPr>
              <w:t xml:space="preserve">Impacto</w:t>
            </w:r>
          </w:p>
        </w:tc>
        <w:tc>
          <w:tcPr>
            <w:tcW w:type="dxa" w:w="3300"/>
            <w:shd w:fill="1F3864" w:color="auto" w:val="clear"/>
            <w:tcMar>
              <w:top w:type="dxa" w:w="55"/>
              <w:left w:type="dxa" w:w="85"/>
              <w:bottom w:type="dxa" w:w="55"/>
              <w:right w:type="dxa" w:w="85"/>
            </w:tcMar>
          </w:tcPr>
          <w:p>
            <w:pPr>
              <w:spacing w:after="0" w:line="256"/>
            </w:pPr>
            <w:r>
              <w:rPr>
                <w:b/>
                <w:bCs/>
                <w:color w:val="FFFFFF"/>
                <w:sz w:val="19"/>
                <w:szCs w:val="19"/>
              </w:rPr>
              <w:t xml:space="preserve">Estrategia y plan de respuesta / Resp.</w:t>
            </w:r>
          </w:p>
        </w:tc>
      </w:tr>
      <w:tr>
        <w:tc>
          <w:tcPr>
            <w:tcW w:type="dxa" w:w="500"/>
            <w:shd w:fill="FFFFFF" w:color="auto" w:val="clear"/>
            <w:tcMar>
              <w:top w:type="dxa" w:w="55"/>
              <w:left w:type="dxa" w:w="85"/>
              <w:bottom w:type="dxa" w:w="55"/>
              <w:right w:type="dxa" w:w="85"/>
            </w:tcMar>
          </w:tcPr>
          <w:p>
            <w:pPr>
              <w:spacing w:after="0" w:line="256"/>
            </w:pPr>
            <w:r>
              <w:rPr>
                <w:b/>
                <w:bCs/>
                <w:color w:val="000000"/>
                <w:sz w:val="19"/>
                <w:szCs w:val="19"/>
              </w:rPr>
              <w:t xml:space="preserve">R1</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Curva de integración HTML/JS ↔ SDK de Supabase (Cronograma/Calidad)</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Media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Medio</w:t>
            </w:r>
          </w:p>
        </w:tc>
        <w:tc>
          <w:tcPr>
            <w:tcW w:type="dxa" w:w="3300"/>
            <w:shd w:fill="FFFFFF" w:color="auto" w:val="clear"/>
            <w:tcMar>
              <w:top w:type="dxa" w:w="55"/>
              <w:left w:type="dxa" w:w="85"/>
              <w:bottom w:type="dxa" w:w="55"/>
              <w:right w:type="dxa" w:w="85"/>
            </w:tcMar>
          </w:tcPr>
          <w:p>
            <w:pPr>
              <w:spacing w:after="0" w:line="256"/>
            </w:pPr>
            <w:r>
              <w:rPr>
                <w:color w:val="000000"/>
                <w:sz w:val="19"/>
                <w:szCs w:val="19"/>
              </w:rPr>
              <w:t xml:space="preserve">Mitigar: prototipo temprano y revisión cruzada de código (Carlos/Felipe)</w:t>
            </w:r>
          </w:p>
        </w:tc>
      </w:tr>
      <w:tr>
        <w:tc>
          <w:tcPr>
            <w:tcW w:type="dxa" w:w="500"/>
            <w:shd w:fill="F2F5FB" w:color="auto" w:val="clear"/>
            <w:tcMar>
              <w:top w:type="dxa" w:w="55"/>
              <w:left w:type="dxa" w:w="85"/>
              <w:bottom w:type="dxa" w:w="55"/>
              <w:right w:type="dxa" w:w="85"/>
            </w:tcMar>
          </w:tcPr>
          <w:p>
            <w:pPr>
              <w:spacing w:after="0" w:line="256"/>
            </w:pPr>
            <w:r>
              <w:rPr>
                <w:b/>
                <w:bCs/>
                <w:color w:val="000000"/>
                <w:sz w:val="19"/>
                <w:szCs w:val="19"/>
              </w:rPr>
              <w:t xml:space="preserve">R2</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Integración OpenFactura demora por certificación SII (Cronograma)</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Media</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Alto</w:t>
            </w:r>
          </w:p>
        </w:tc>
        <w:tc>
          <w:tcPr>
            <w:tcW w:type="dxa" w:w="3300"/>
            <w:shd w:fill="F2F5FB" w:color="auto" w:val="clear"/>
            <w:tcMar>
              <w:top w:type="dxa" w:w="55"/>
              <w:left w:type="dxa" w:w="85"/>
              <w:bottom w:type="dxa" w:w="55"/>
              <w:right w:type="dxa" w:w="85"/>
            </w:tcMar>
          </w:tcPr>
          <w:p>
            <w:pPr>
              <w:spacing w:after="0" w:line="256"/>
            </w:pPr>
            <w:r>
              <w:rPr>
                <w:color w:val="000000"/>
                <w:sz w:val="19"/>
                <w:szCs w:val="19"/>
              </w:rPr>
              <w:t xml:space="preserve">Mitigar: sprint dedicado y temprano de certificación (Carlos)</w:t>
            </w:r>
          </w:p>
        </w:tc>
      </w:tr>
      <w:tr>
        <w:tc>
          <w:tcPr>
            <w:tcW w:type="dxa" w:w="500"/>
            <w:shd w:fill="FFFFFF" w:color="auto" w:val="clear"/>
            <w:tcMar>
              <w:top w:type="dxa" w:w="55"/>
              <w:left w:type="dxa" w:w="85"/>
              <w:bottom w:type="dxa" w:w="55"/>
              <w:right w:type="dxa" w:w="85"/>
            </w:tcMar>
          </w:tcPr>
          <w:p>
            <w:pPr>
              <w:spacing w:after="0" w:line="256"/>
            </w:pPr>
            <w:r>
              <w:rPr>
                <w:b/>
                <w:bCs/>
                <w:color w:val="000000"/>
                <w:sz w:val="19"/>
                <w:szCs w:val="19"/>
              </w:rPr>
              <w:t xml:space="preserve">R3</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Disponibilidad acotada del equipo (Cronograma)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Alta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Medio</w:t>
            </w:r>
          </w:p>
        </w:tc>
        <w:tc>
          <w:tcPr>
            <w:tcW w:type="dxa" w:w="3300"/>
            <w:shd w:fill="FFFFFF" w:color="auto" w:val="clear"/>
            <w:tcMar>
              <w:top w:type="dxa" w:w="55"/>
              <w:left w:type="dxa" w:w="85"/>
              <w:bottom w:type="dxa" w:w="55"/>
              <w:right w:type="dxa" w:w="85"/>
            </w:tcMar>
          </w:tcPr>
          <w:p>
            <w:pPr>
              <w:spacing w:after="0" w:line="256"/>
            </w:pPr>
            <w:r>
              <w:rPr>
                <w:color w:val="000000"/>
                <w:sz w:val="19"/>
                <w:szCs w:val="19"/>
              </w:rPr>
              <w:t xml:space="preserve">Mitigar: sprints cortos, Kanban, control semanal (Líder sprint)</w:t>
            </w:r>
          </w:p>
        </w:tc>
      </w:tr>
      <w:tr>
        <w:tc>
          <w:tcPr>
            <w:tcW w:type="dxa" w:w="500"/>
            <w:shd w:fill="F2F5FB" w:color="auto" w:val="clear"/>
            <w:tcMar>
              <w:top w:type="dxa" w:w="55"/>
              <w:left w:type="dxa" w:w="85"/>
              <w:bottom w:type="dxa" w:w="55"/>
              <w:right w:type="dxa" w:w="85"/>
            </w:tcMar>
          </w:tcPr>
          <w:p>
            <w:pPr>
              <w:spacing w:after="0" w:line="256"/>
            </w:pPr>
            <w:r>
              <w:rPr>
                <w:b/>
                <w:bCs/>
                <w:color w:val="000000"/>
                <w:sz w:val="19"/>
                <w:szCs w:val="19"/>
              </w:rPr>
              <w:t xml:space="preserve">R4</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Scope creep por solicitudes del negocio (Alcance)</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Alta</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Alto</w:t>
            </w:r>
          </w:p>
        </w:tc>
        <w:tc>
          <w:tcPr>
            <w:tcW w:type="dxa" w:w="3300"/>
            <w:shd w:fill="F2F5FB" w:color="auto" w:val="clear"/>
            <w:tcMar>
              <w:top w:type="dxa" w:w="55"/>
              <w:left w:type="dxa" w:w="85"/>
              <w:bottom w:type="dxa" w:w="55"/>
              <w:right w:type="dxa" w:w="85"/>
            </w:tcMar>
          </w:tcPr>
          <w:p>
            <w:pPr>
              <w:spacing w:after="0" w:line="256"/>
            </w:pPr>
            <w:r>
              <w:rPr>
                <w:color w:val="000000"/>
                <w:sz w:val="19"/>
                <w:szCs w:val="19"/>
              </w:rPr>
              <w:t xml:space="preserve">Evitar: MVP congelado; cambios vía SC validada (Iván)</w:t>
            </w:r>
          </w:p>
        </w:tc>
      </w:tr>
      <w:tr>
        <w:tc>
          <w:tcPr>
            <w:tcW w:type="dxa" w:w="500"/>
            <w:shd w:fill="FFFFFF" w:color="auto" w:val="clear"/>
            <w:tcMar>
              <w:top w:type="dxa" w:w="55"/>
              <w:left w:type="dxa" w:w="85"/>
              <w:bottom w:type="dxa" w:w="55"/>
              <w:right w:type="dxa" w:w="85"/>
            </w:tcMar>
          </w:tcPr>
          <w:p>
            <w:pPr>
              <w:spacing w:after="0" w:line="256"/>
            </w:pPr>
            <w:r>
              <w:rPr>
                <w:b/>
                <w:bCs/>
                <w:color w:val="000000"/>
                <w:sz w:val="19"/>
                <w:szCs w:val="19"/>
              </w:rPr>
              <w:t xml:space="preserve">R5</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Retraso en credenciales de MP/OpenFactura (Cronograma)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Media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Alto</w:t>
            </w:r>
          </w:p>
        </w:tc>
        <w:tc>
          <w:tcPr>
            <w:tcW w:type="dxa" w:w="3300"/>
            <w:shd w:fill="FFFFFF" w:color="auto" w:val="clear"/>
            <w:tcMar>
              <w:top w:type="dxa" w:w="55"/>
              <w:left w:type="dxa" w:w="85"/>
              <w:bottom w:type="dxa" w:w="55"/>
              <w:right w:type="dxa" w:w="85"/>
            </w:tcMar>
          </w:tcPr>
          <w:p>
            <w:pPr>
              <w:spacing w:after="0" w:line="256"/>
            </w:pPr>
            <w:r>
              <w:rPr>
                <w:color w:val="000000"/>
                <w:sz w:val="19"/>
                <w:szCs w:val="19"/>
              </w:rPr>
              <w:t xml:space="preserve">Mitigar: solicitar sandbox y producción al inicio (Carlos)</w:t>
            </w:r>
          </w:p>
        </w:tc>
      </w:tr>
      <w:tr>
        <w:tc>
          <w:tcPr>
            <w:tcW w:type="dxa" w:w="500"/>
            <w:shd w:fill="F2F5FB" w:color="auto" w:val="clear"/>
            <w:tcMar>
              <w:top w:type="dxa" w:w="55"/>
              <w:left w:type="dxa" w:w="85"/>
              <w:bottom w:type="dxa" w:w="55"/>
              <w:right w:type="dxa" w:w="85"/>
            </w:tcMar>
          </w:tcPr>
          <w:p>
            <w:pPr>
              <w:spacing w:after="0" w:line="256"/>
            </w:pPr>
            <w:r>
              <w:rPr>
                <w:b/>
                <w:bCs/>
                <w:color w:val="000000"/>
                <w:sz w:val="19"/>
                <w:szCs w:val="19"/>
              </w:rPr>
              <w:t xml:space="preserve">R6</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Errores/pérdida en migración desde Shopify (Calidad)</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Media</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Medio</w:t>
            </w:r>
          </w:p>
        </w:tc>
        <w:tc>
          <w:tcPr>
            <w:tcW w:type="dxa" w:w="3300"/>
            <w:shd w:fill="F2F5FB" w:color="auto" w:val="clear"/>
            <w:tcMar>
              <w:top w:type="dxa" w:w="55"/>
              <w:left w:type="dxa" w:w="85"/>
              <w:bottom w:type="dxa" w:w="55"/>
              <w:right w:type="dxa" w:w="85"/>
            </w:tcMar>
          </w:tcPr>
          <w:p>
            <w:pPr>
              <w:spacing w:after="0" w:line="256"/>
            </w:pPr>
            <w:r>
              <w:rPr>
                <w:color w:val="000000"/>
                <w:sz w:val="19"/>
                <w:szCs w:val="19"/>
              </w:rPr>
              <w:t xml:space="preserve">Mitigar: validar en ambiente de prueba (Carlos)</w:t>
            </w:r>
          </w:p>
        </w:tc>
      </w:tr>
      <w:tr>
        <w:tc>
          <w:tcPr>
            <w:tcW w:type="dxa" w:w="500"/>
            <w:shd w:fill="FFFFFF" w:color="auto" w:val="clear"/>
            <w:tcMar>
              <w:top w:type="dxa" w:w="55"/>
              <w:left w:type="dxa" w:w="85"/>
              <w:bottom w:type="dxa" w:w="55"/>
              <w:right w:type="dxa" w:w="85"/>
            </w:tcMar>
          </w:tcPr>
          <w:p>
            <w:pPr>
              <w:spacing w:after="0" w:line="256"/>
            </w:pPr>
            <w:r>
              <w:rPr>
                <w:b/>
                <w:bCs/>
                <w:color w:val="000000"/>
                <w:sz w:val="19"/>
                <w:szCs w:val="19"/>
              </w:rPr>
              <w:t xml:space="preserve">R7</w:t>
            </w:r>
          </w:p>
        </w:tc>
        <w:tc>
          <w:tcPr>
            <w:tcW w:type="dxa" w:w="2760"/>
            <w:shd w:fill="FFFFFF" w:color="auto" w:val="clear"/>
            <w:tcMar>
              <w:top w:type="dxa" w:w="55"/>
              <w:left w:type="dxa" w:w="85"/>
              <w:bottom w:type="dxa" w:w="55"/>
              <w:right w:type="dxa" w:w="85"/>
            </w:tcMar>
          </w:tcPr>
          <w:p>
            <w:pPr>
              <w:spacing w:after="0" w:line="256"/>
            </w:pPr>
            <w:r>
              <w:rPr>
                <w:color w:val="000000"/>
                <w:sz w:val="19"/>
                <w:szCs w:val="19"/>
              </w:rPr>
              <w:t xml:space="preserve">Limitaciones del plan gratuito de Supabase: pausa por inactividad y sin respaldo diario automático (Calidad)</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Baja</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Bajo</w:t>
            </w:r>
          </w:p>
        </w:tc>
        <w:tc>
          <w:tcPr>
            <w:tcW w:type="dxa" w:w="3300"/>
            <w:shd w:fill="FFFFFF" w:color="auto" w:val="clear"/>
            <w:tcMar>
              <w:top w:type="dxa" w:w="55"/>
              <w:left w:type="dxa" w:w="85"/>
              <w:bottom w:type="dxa" w:w="55"/>
              <w:right w:type="dxa" w:w="85"/>
            </w:tcMar>
          </w:tcPr>
          <w:p>
            <w:pPr>
              <w:spacing w:after="0" w:line="256"/>
            </w:pPr>
            <w:r>
              <w:rPr>
                <w:color w:val="000000"/>
                <w:sz w:val="19"/>
                <w:szCs w:val="19"/>
              </w:rPr>
              <w:t xml:space="preserve">Mitigar: ping programado diario, respaldo manual semanal y monitoreo; evaluar plan Pro si el negocio crece (Carlos)</w:t>
            </w:r>
          </w:p>
        </w:tc>
      </w:tr>
      <w:tr>
        <w:tc>
          <w:tcPr>
            <w:tcW w:type="dxa" w:w="500"/>
            <w:shd w:fill="F2F5FB" w:color="auto" w:val="clear"/>
            <w:tcMar>
              <w:top w:type="dxa" w:w="55"/>
              <w:left w:type="dxa" w:w="85"/>
              <w:bottom w:type="dxa" w:w="55"/>
              <w:right w:type="dxa" w:w="85"/>
            </w:tcMar>
          </w:tcPr>
          <w:p>
            <w:pPr>
              <w:spacing w:after="0" w:line="256"/>
            </w:pPr>
            <w:r>
              <w:rPr>
                <w:b/>
                <w:bCs/>
                <w:color w:val="000000"/>
                <w:sz w:val="19"/>
                <w:szCs w:val="19"/>
              </w:rPr>
              <w:t xml:space="preserve">R8</w:t>
            </w:r>
          </w:p>
        </w:tc>
        <w:tc>
          <w:tcPr>
            <w:tcW w:type="dxa" w:w="2760"/>
            <w:shd w:fill="F2F5FB" w:color="auto" w:val="clear"/>
            <w:tcMar>
              <w:top w:type="dxa" w:w="55"/>
              <w:left w:type="dxa" w:w="85"/>
              <w:bottom w:type="dxa" w:w="55"/>
              <w:right w:type="dxa" w:w="85"/>
            </w:tcMar>
          </w:tcPr>
          <w:p>
            <w:pPr>
              <w:spacing w:after="0" w:line="256"/>
            </w:pPr>
            <w:r>
              <w:rPr>
                <w:color w:val="000000"/>
                <w:sz w:val="19"/>
                <w:szCs w:val="19"/>
              </w:rPr>
              <w:t xml:space="preserve">Fallo de seguridad / acceso indebido (Calidad)</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Baja</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Alto</w:t>
            </w:r>
          </w:p>
        </w:tc>
        <w:tc>
          <w:tcPr>
            <w:tcW w:type="dxa" w:w="3300"/>
            <w:shd w:fill="F2F5FB" w:color="auto" w:val="clear"/>
            <w:tcMar>
              <w:top w:type="dxa" w:w="55"/>
              <w:left w:type="dxa" w:w="85"/>
              <w:bottom w:type="dxa" w:w="55"/>
              <w:right w:type="dxa" w:w="85"/>
            </w:tcMar>
          </w:tcPr>
          <w:p>
            <w:pPr>
              <w:spacing w:after="0" w:line="256"/>
            </w:pPr>
            <w:r>
              <w:rPr>
                <w:color w:val="000000"/>
                <w:sz w:val="19"/>
                <w:szCs w:val="19"/>
              </w:rPr>
              <w:t xml:space="preserve">Mitigar: RLS, HTTPS, pruebas, Ley 21.719 (Carlos)</w:t>
            </w:r>
          </w:p>
        </w:tc>
      </w:tr>
    </w:tbl>
    <w:p>
      <w:pPr>
        <w:spacing w:after="120" w:line="274"/>
      </w:pPr>
      <w:r>
        <w:rPr>
          <w:i/>
          <w:iCs/>
          <w:color w:val="595959"/>
          <w:sz w:val="19"/>
          <w:szCs w:val="19"/>
        </w:rPr>
        <w:t xml:space="preserve">Registro completo (13 columnas) en el Anexo — Registro de Riesgos (Excel), v1.1 con R1 ajustado por SC-02.</w:t>
      </w:r>
    </w:p>
    <w:p>
      <w:pPr>
        <w:pStyle w:val="Heading2"/>
        <w:spacing w:after="80" w:before="190"/>
      </w:pPr>
      <w:r>
        <w:rPr>
          <w:b/>
          <w:bCs/>
          <w:color w:val="2E5496"/>
          <w:sz w:val="22"/>
          <w:szCs w:val="22"/>
        </w:rPr>
        <w:t xml:space="preserve">3. Reserva de contingencia</w:t>
      </w:r>
    </w:p>
    <w:p>
      <w:pPr>
        <w:spacing w:after="120" w:line="274"/>
      </w:pPr>
      <w:r>
        <w:rPr>
          <w:sz w:val="21"/>
          <w:szCs w:val="21"/>
        </w:rPr>
        <w:t xml:space="preserve">Coincide con la reserva presupuestaria del 15% ($66.365 CLP), destinada a ajustes de tarifas e imprevistos de certificación. Los riesgos de mayor impacto (R2, R4) se mitigan con medidas de proceso.</w:t>
      </w:r>
    </w:p>
    <w:p>
      <w:pPr>
        <w:pStyle w:val="Heading1"/>
        <w:spacing w:after="100" w:before="250"/>
      </w:pPr>
      <w:r>
        <w:rPr>
          <w:b/>
          <w:bCs/>
          <w:color w:val="1F3864"/>
          <w:sz w:val="25"/>
          <w:szCs w:val="25"/>
        </w:rPr>
        <w:t xml:space="preserve">Plan de Gestión de las Adquisiciones</w:t>
      </w:r>
    </w:p>
    <w:p>
      <w:pPr>
        <w:pStyle w:val="Heading2"/>
        <w:spacing w:after="80" w:before="190"/>
      </w:pPr>
      <w:r>
        <w:rPr>
          <w:b/>
          <w:bCs/>
          <w:color w:val="2E5496"/>
          <w:sz w:val="22"/>
          <w:szCs w:val="22"/>
        </w:rPr>
        <w:t xml:space="preserve">1. Propósito y enfoque</w:t>
      </w:r>
    </w:p>
    <w:p>
      <w:pPr>
        <w:spacing w:after="120" w:line="274"/>
      </w:pPr>
      <w:r>
        <w:rPr>
          <w:sz w:val="21"/>
          <w:szCs w:val="21"/>
        </w:rPr>
        <w:t xml:space="preserve">No hay adquisiciones de desarrollo externo: el software lo construye el equipo. Las únicas adquisiciones son servicios SaaS de terceros (pagos, facturación, certificado, infraestructura), financiados por el cliente.</w:t>
      </w:r>
    </w:p>
    <w:p>
      <w:pPr>
        <w:pStyle w:val="Heading2"/>
        <w:spacing w:after="80" w:before="190"/>
      </w:pPr>
      <w:r>
        <w:rPr>
          <w:b/>
          <w:bCs/>
          <w:color w:val="2E5496"/>
          <w:sz w:val="22"/>
          <w:szCs w:val="22"/>
        </w:rPr>
        <w:t xml:space="preserve">2. Decisión de hacer o comprar (make-or-buy)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800"/>
        <w:gridCol w:w="4960"/>
      </w:tblGrid>
      <w:tr>
        <w:trPr>
          <w:tblHeader/>
        </w:trPr>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Componente</w:t>
            </w:r>
          </w:p>
        </w:tc>
        <w:tc>
          <w:tcPr>
            <w:tcW w:type="dxa" w:w="1800"/>
            <w:shd w:fill="1F3864" w:color="auto" w:val="clear"/>
            <w:tcMar>
              <w:top w:type="dxa" w:w="55"/>
              <w:left w:type="dxa" w:w="85"/>
              <w:bottom w:type="dxa" w:w="55"/>
              <w:right w:type="dxa" w:w="85"/>
            </w:tcMar>
          </w:tcPr>
          <w:p>
            <w:pPr>
              <w:spacing w:after="0" w:line="256"/>
            </w:pPr>
            <w:r>
              <w:rPr>
                <w:b/>
                <w:bCs/>
                <w:color w:val="FFFFFF"/>
                <w:sz w:val="19"/>
                <w:szCs w:val="19"/>
              </w:rPr>
              <w:t xml:space="preserve">Decisión</w:t>
            </w:r>
          </w:p>
        </w:tc>
        <w:tc>
          <w:tcPr>
            <w:tcW w:type="dxa" w:w="4960"/>
            <w:shd w:fill="1F3864" w:color="auto" w:val="clear"/>
            <w:tcMar>
              <w:top w:type="dxa" w:w="55"/>
              <w:left w:type="dxa" w:w="85"/>
              <w:bottom w:type="dxa" w:w="55"/>
              <w:right w:type="dxa" w:w="85"/>
            </w:tcMar>
          </w:tcPr>
          <w:p>
            <w:pPr>
              <w:spacing w:after="0" w:line="256"/>
            </w:pPr>
            <w:r>
              <w:rPr>
                <w:b/>
                <w:bCs/>
                <w:color w:val="FFFFFF"/>
                <w:sz w:val="19"/>
                <w:szCs w:val="19"/>
              </w:rPr>
              <w:t xml:space="preserve">Justificación</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Plataforma e-commerce</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Hacer (in-house)</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Objeto del proyecto de título; se construye con HTML5/CSS3/JavaScript y Supabase.</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Procesamiento de pagos</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Comprar (Mercado Pago)</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Estándar en Chile; inviable desarrollar una pasarela propia.</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Comprar (OpenFactura)</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Emitir DTE requiere proveedor autorizado ante el SII.</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Infraestructura backend</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Servicio gestionado (Supabase, plan gratuito)</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Evita construir y mantener BD, auth y funciones propias.</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Certificado digital</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Comprar (certificadora SII)</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Requisito legal para emitir DTE válidos.</w:t>
            </w:r>
          </w:p>
        </w:tc>
      </w:tr>
    </w:tbl>
    <w:p>
      <w:pPr>
        <w:pStyle w:val="Heading2"/>
        <w:spacing w:after="80" w:before="190"/>
      </w:pPr>
      <w:r>
        <w:rPr>
          <w:b/>
          <w:bCs/>
          <w:color w:val="2E5496"/>
          <w:sz w:val="22"/>
          <w:szCs w:val="22"/>
        </w:rPr>
        <w:t xml:space="preserve">3. Matriz de adquisiciones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2400"/>
        <w:gridCol w:w="2400"/>
        <w:gridCol w:w="1500"/>
        <w:gridCol w:w="17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Cód. EDT</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Entregable</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Adquisición</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Modalidad</w:t>
            </w:r>
          </w:p>
        </w:tc>
        <w:tc>
          <w:tcPr>
            <w:tcW w:type="dxa" w:w="1760"/>
            <w:shd w:fill="1F3864" w:color="auto" w:val="clear"/>
            <w:tcMar>
              <w:top w:type="dxa" w:w="55"/>
              <w:left w:type="dxa" w:w="85"/>
              <w:bottom w:type="dxa" w:w="55"/>
              <w:right w:type="dxa" w:w="85"/>
            </w:tcMar>
          </w:tcPr>
          <w:p>
            <w:pPr>
              <w:spacing w:after="0" w:line="256"/>
            </w:pPr>
            <w:r>
              <w:rPr>
                <w:b/>
                <w:bCs/>
                <w:color w:val="FFFFFF"/>
                <w:sz w:val="19"/>
                <w:szCs w:val="19"/>
              </w:rPr>
              <w:t xml:space="preserve">Presupuesto</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3.4</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Pagos en línea</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Mercado Pago</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Directa / Anual</w:t>
            </w:r>
          </w:p>
        </w:tc>
        <w:tc>
          <w:tcPr>
            <w:tcW w:type="dxa" w:w="1760"/>
            <w:shd w:fill="FFFFFF" w:color="auto" w:val="clear"/>
            <w:tcMar>
              <w:top w:type="dxa" w:w="55"/>
              <w:left w:type="dxa" w:w="85"/>
              <w:bottom w:type="dxa" w:w="55"/>
              <w:right w:type="dxa" w:w="85"/>
            </w:tcMar>
          </w:tcPr>
          <w:p>
            <w:pPr>
              <w:spacing w:after="0" w:line="256"/>
            </w:pPr>
            <w:r>
              <w:rPr>
                <w:color w:val="000000"/>
                <w:sz w:val="19"/>
                <w:szCs w:val="19"/>
              </w:rPr>
              <w:t xml:space="preserve">Comisión</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3.5</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OpenFactura plan Pyme</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Directa / Anual</w:t>
            </w:r>
          </w:p>
        </w:tc>
        <w:tc>
          <w:tcPr>
            <w:tcW w:type="dxa" w:w="1760"/>
            <w:shd w:fill="F2F5FB" w:color="auto" w:val="clear"/>
            <w:tcMar>
              <w:top w:type="dxa" w:w="55"/>
              <w:left w:type="dxa" w:w="85"/>
              <w:bottom w:type="dxa" w:w="55"/>
              <w:right w:type="dxa" w:w="85"/>
            </w:tcMar>
          </w:tcPr>
          <w:p>
            <w:pPr>
              <w:spacing w:after="0" w:line="256"/>
            </w:pPr>
            <w:r>
              <w:rPr>
                <w:color w:val="000000"/>
                <w:sz w:val="19"/>
                <w:szCs w:val="19"/>
              </w:rPr>
              <w:t xml:space="preserve">$428.400</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3.5</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Certificado digital SII</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Directa / 1 año</w:t>
            </w:r>
          </w:p>
        </w:tc>
        <w:tc>
          <w:tcPr>
            <w:tcW w:type="dxa" w:w="1760"/>
            <w:shd w:fill="FFFFFF" w:color="auto" w:val="clear"/>
            <w:tcMar>
              <w:top w:type="dxa" w:w="55"/>
              <w:left w:type="dxa" w:w="85"/>
              <w:bottom w:type="dxa" w:w="55"/>
              <w:right w:type="dxa" w:w="85"/>
            </w:tcMar>
          </w:tcPr>
          <w:p>
            <w:pPr>
              <w:spacing w:after="0" w:line="256"/>
            </w:pPr>
            <w:r>
              <w:rPr>
                <w:color w:val="000000"/>
                <w:sz w:val="19"/>
                <w:szCs w:val="19"/>
              </w:rPr>
              <w:t xml:space="preserve">$14.030</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5.2</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Infraestructura backend</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Supabase plan gratuito</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Sin costo (SC-04)</w:t>
            </w:r>
          </w:p>
        </w:tc>
        <w:tc>
          <w:tcPr>
            <w:tcW w:type="dxa" w:w="1760"/>
            <w:shd w:fill="F2F5FB"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1300"/>
            <w:shd w:fill="FFFFFF" w:color="auto" w:val="clear"/>
            <w:tcMar>
              <w:top w:type="dxa" w:w="55"/>
              <w:left w:type="dxa" w:w="85"/>
              <w:bottom w:type="dxa" w:w="55"/>
              <w:right w:type="dxa" w:w="85"/>
            </w:tcMar>
          </w:tcPr>
          <w:p>
            <w:pPr>
              <w:spacing w:after="0" w:line="256"/>
            </w:pPr>
            <w:r>
              <w:rPr>
                <w:b/>
                <w:bCs/>
                <w:color w:val="000000"/>
                <w:sz w:val="19"/>
                <w:szCs w:val="19"/>
              </w:rPr>
              <w:t xml:space="preserve">Total adquisiciones (anual)</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1760"/>
            <w:shd w:fill="FFFFFF" w:color="auto" w:val="clear"/>
            <w:tcMar>
              <w:top w:type="dxa" w:w="55"/>
              <w:left w:type="dxa" w:w="85"/>
              <w:bottom w:type="dxa" w:w="55"/>
              <w:right w:type="dxa" w:w="85"/>
            </w:tcMar>
          </w:tcPr>
          <w:p>
            <w:pPr>
              <w:spacing w:after="0" w:line="256"/>
            </w:pPr>
            <w:r>
              <w:rPr>
                <w:b/>
                <w:bCs/>
                <w:color w:val="000000"/>
                <w:sz w:val="19"/>
                <w:szCs w:val="19"/>
              </w:rPr>
              <w:t xml:space="preserve">$442.430</w:t>
            </w:r>
          </w:p>
        </w:tc>
      </w:tr>
    </w:tbl>
    <w:p>
      <w:pPr>
        <w:pStyle w:val="Heading1"/>
        <w:spacing w:after="100" w:before="250"/>
      </w:pPr>
      <w:r>
        <w:rPr>
          <w:b/>
          <w:bCs/>
          <w:color w:val="1F3864"/>
          <w:sz w:val="25"/>
          <w:szCs w:val="25"/>
        </w:rPr>
        <w:t xml:space="preserve">Plan de Gestión de los Interesados</w:t>
      </w:r>
    </w:p>
    <w:p>
      <w:pPr>
        <w:pStyle w:val="Heading2"/>
        <w:spacing w:after="80" w:before="190"/>
      </w:pPr>
      <w:r>
        <w:rPr>
          <w:b/>
          <w:bCs/>
          <w:color w:val="2E5496"/>
          <w:sz w:val="22"/>
          <w:szCs w:val="22"/>
        </w:rPr>
        <w:t xml:space="preserve">1. Enfoque</w:t>
      </w:r>
    </w:p>
    <w:p>
      <w:pPr>
        <w:spacing w:after="120" w:line="274"/>
      </w:pPr>
      <w:r>
        <w:rPr>
          <w:sz w:val="21"/>
          <w:szCs w:val="21"/>
        </w:rPr>
        <w:t xml:space="preserve">Identificar interesados, analizar expectativas, planificar su participación, comunicar y gestionar conflictos. Se considera que el patrocinador (Iván) es a la vez integrante y desarrollador del equipo.</w:t>
      </w:r>
    </w:p>
    <w:p>
      <w:pPr>
        <w:pStyle w:val="Heading2"/>
        <w:spacing w:after="80" w:before="190"/>
      </w:pPr>
      <w:r>
        <w:rPr>
          <w:b/>
          <w:bCs/>
          <w:color w:val="2E5496"/>
          <w:sz w:val="22"/>
          <w:szCs w:val="22"/>
        </w:rPr>
        <w:t xml:space="preserve">2. Registro de interesados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2600"/>
        <w:gridCol w:w="2560"/>
        <w:gridCol w:w="2000"/>
      </w:tblGrid>
      <w:tr>
        <w:trPr>
          <w:tblHeader/>
        </w:trPr>
        <w:tc>
          <w:tcPr>
            <w:tcW w:type="dxa" w:w="2200"/>
            <w:shd w:fill="1F3864" w:color="auto" w:val="clear"/>
            <w:tcMar>
              <w:top w:type="dxa" w:w="55"/>
              <w:left w:type="dxa" w:w="85"/>
              <w:bottom w:type="dxa" w:w="55"/>
              <w:right w:type="dxa" w:w="85"/>
            </w:tcMar>
          </w:tcPr>
          <w:p>
            <w:pPr>
              <w:spacing w:after="0" w:line="256"/>
            </w:pPr>
            <w:r>
              <w:rPr>
                <w:b/>
                <w:bCs/>
                <w:color w:val="FFFFFF"/>
                <w:sz w:val="19"/>
                <w:szCs w:val="19"/>
              </w:rPr>
              <w:t xml:space="preserve">Nombre</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2560"/>
            <w:shd w:fill="1F3864" w:color="auto" w:val="clear"/>
            <w:tcMar>
              <w:top w:type="dxa" w:w="55"/>
              <w:left w:type="dxa" w:w="85"/>
              <w:bottom w:type="dxa" w:w="55"/>
              <w:right w:type="dxa" w:w="85"/>
            </w:tcMar>
          </w:tcPr>
          <w:p>
            <w:pPr>
              <w:spacing w:after="0" w:line="256"/>
            </w:pPr>
            <w:r>
              <w:rPr>
                <w:b/>
                <w:bCs/>
                <w:color w:val="FFFFFF"/>
                <w:sz w:val="19"/>
                <w:szCs w:val="19"/>
              </w:rPr>
              <w:t xml:space="preserve">Expectativas</w:t>
            </w:r>
          </w:p>
        </w:tc>
        <w:tc>
          <w:tcPr>
            <w:tcW w:type="dxa" w:w="2000"/>
            <w:shd w:fill="1F3864" w:color="auto" w:val="clear"/>
            <w:tcMar>
              <w:top w:type="dxa" w:w="55"/>
              <w:left w:type="dxa" w:w="85"/>
              <w:bottom w:type="dxa" w:w="55"/>
              <w:right w:type="dxa" w:w="85"/>
            </w:tcMar>
          </w:tcPr>
          <w:p>
            <w:pPr>
              <w:spacing w:after="0" w:line="256"/>
            </w:pPr>
            <w:r>
              <w:rPr>
                <w:b/>
                <w:bCs/>
                <w:color w:val="FFFFFF"/>
                <w:sz w:val="19"/>
                <w:szCs w:val="19"/>
              </w:rPr>
              <w:t xml:space="preserve">Clasificación</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Patrocinador / Dueño</w:t>
            </w:r>
          </w:p>
        </w:tc>
        <w:tc>
          <w:tcPr>
            <w:tcW w:type="dxa" w:w="2560"/>
            <w:shd w:fill="FFFFFF" w:color="auto" w:val="clear"/>
            <w:tcMar>
              <w:top w:type="dxa" w:w="55"/>
              <w:left w:type="dxa" w:w="85"/>
              <w:bottom w:type="dxa" w:w="55"/>
              <w:right w:type="dxa" w:w="85"/>
            </w:tcMar>
          </w:tcPr>
          <w:p>
            <w:pPr>
              <w:spacing w:after="0" w:line="256"/>
            </w:pPr>
            <w:r>
              <w:rPr>
                <w:color w:val="000000"/>
                <w:sz w:val="19"/>
                <w:szCs w:val="19"/>
              </w:rPr>
              <w:t xml:space="preserve">Reducir costos, modernizar y delegar</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Partidario · Infl. alta · Interés alto</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Datos y gestión</w:t>
            </w:r>
          </w:p>
        </w:tc>
        <w:tc>
          <w:tcPr>
            <w:tcW w:type="dxa" w:w="2560"/>
            <w:shd w:fill="F2F5FB" w:color="auto" w:val="clear"/>
            <w:tcMar>
              <w:top w:type="dxa" w:w="55"/>
              <w:left w:type="dxa" w:w="85"/>
              <w:bottom w:type="dxa" w:w="55"/>
              <w:right w:type="dxa" w:w="85"/>
            </w:tcMar>
          </w:tcPr>
          <w:p>
            <w:pPr>
              <w:spacing w:after="0" w:line="256"/>
            </w:pPr>
            <w:r>
              <w:rPr>
                <w:color w:val="000000"/>
                <w:sz w:val="19"/>
                <w:szCs w:val="19"/>
              </w:rPr>
              <w:t xml:space="preserve">Cumplir su título integrando datos y gestión</w:t>
            </w:r>
          </w:p>
        </w:tc>
        <w:tc>
          <w:tcPr>
            <w:tcW w:type="dxa" w:w="2000"/>
            <w:shd w:fill="F2F5FB" w:color="auto" w:val="clear"/>
            <w:tcMar>
              <w:top w:type="dxa" w:w="55"/>
              <w:left w:type="dxa" w:w="85"/>
              <w:bottom w:type="dxa" w:w="55"/>
              <w:right w:type="dxa" w:w="85"/>
            </w:tcMar>
          </w:tcPr>
          <w:p>
            <w:pPr>
              <w:spacing w:after="0" w:line="256"/>
            </w:pPr>
            <w:r>
              <w:rPr>
                <w:color w:val="000000"/>
                <w:sz w:val="19"/>
                <w:szCs w:val="19"/>
              </w:rPr>
              <w:t xml:space="preserve">Partidario · Infl. alta · Interés alto</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Frontend / UX</w:t>
            </w:r>
          </w:p>
        </w:tc>
        <w:tc>
          <w:tcPr>
            <w:tcW w:type="dxa" w:w="2560"/>
            <w:shd w:fill="FFFFFF" w:color="auto" w:val="clear"/>
            <w:tcMar>
              <w:top w:type="dxa" w:w="55"/>
              <w:left w:type="dxa" w:w="85"/>
              <w:bottom w:type="dxa" w:w="55"/>
              <w:right w:type="dxa" w:w="85"/>
            </w:tcMar>
          </w:tcPr>
          <w:p>
            <w:pPr>
              <w:spacing w:after="0" w:line="256"/>
            </w:pPr>
            <w:r>
              <w:rPr>
                <w:color w:val="000000"/>
                <w:sz w:val="19"/>
                <w:szCs w:val="19"/>
              </w:rPr>
              <w:t xml:space="preserve">Aplicar UX en interfaz real</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Partidario · Infl. alta · Interés alto</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Docente guía</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Evaluador APT</w:t>
            </w:r>
          </w:p>
        </w:tc>
        <w:tc>
          <w:tcPr>
            <w:tcW w:type="dxa" w:w="2560"/>
            <w:shd w:fill="F2F5FB" w:color="auto" w:val="clear"/>
            <w:tcMar>
              <w:top w:type="dxa" w:w="55"/>
              <w:left w:type="dxa" w:w="85"/>
              <w:bottom w:type="dxa" w:w="55"/>
              <w:right w:type="dxa" w:w="85"/>
            </w:tcMar>
          </w:tcPr>
          <w:p>
            <w:pPr>
              <w:spacing w:after="0" w:line="256"/>
            </w:pPr>
            <w:r>
              <w:rPr>
                <w:color w:val="000000"/>
                <w:sz w:val="19"/>
                <w:szCs w:val="19"/>
              </w:rPr>
              <w:t xml:space="preserve">Cumplimiento metodológico</w:t>
            </w:r>
          </w:p>
        </w:tc>
        <w:tc>
          <w:tcPr>
            <w:tcW w:type="dxa" w:w="2000"/>
            <w:shd w:fill="F2F5FB" w:color="auto" w:val="clear"/>
            <w:tcMar>
              <w:top w:type="dxa" w:w="55"/>
              <w:left w:type="dxa" w:w="85"/>
              <w:bottom w:type="dxa" w:w="55"/>
              <w:right w:type="dxa" w:w="85"/>
            </w:tcMar>
          </w:tcPr>
          <w:p>
            <w:pPr>
              <w:spacing w:after="0" w:line="256"/>
            </w:pPr>
            <w:r>
              <w:rPr>
                <w:color w:val="000000"/>
                <w:sz w:val="19"/>
                <w:szCs w:val="19"/>
              </w:rPr>
              <w:t xml:space="preserve">Neutral · Infl. alta · Interés medio</w:t>
            </w:r>
          </w:p>
        </w:tc>
      </w:tr>
      <w:tr>
        <w:tc>
          <w:tcPr>
            <w:tcW w:type="dxa" w:w="2200"/>
            <w:shd w:fill="FFFFFF" w:color="auto" w:val="clear"/>
            <w:tcMar>
              <w:top w:type="dxa" w:w="55"/>
              <w:left w:type="dxa" w:w="85"/>
              <w:bottom w:type="dxa" w:w="55"/>
              <w:right w:type="dxa" w:w="85"/>
            </w:tcMar>
          </w:tcPr>
          <w:p>
            <w:pPr>
              <w:spacing w:after="0" w:line="256"/>
            </w:pPr>
            <w:r>
              <w:rPr>
                <w:color w:val="000000"/>
                <w:sz w:val="19"/>
                <w:szCs w:val="19"/>
              </w:rPr>
              <w:t xml:space="preserve">Clientes (~450)</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Usuarios finales</w:t>
            </w:r>
          </w:p>
        </w:tc>
        <w:tc>
          <w:tcPr>
            <w:tcW w:type="dxa" w:w="2560"/>
            <w:shd w:fill="FFFFFF" w:color="auto" w:val="clear"/>
            <w:tcMar>
              <w:top w:type="dxa" w:w="55"/>
              <w:left w:type="dxa" w:w="85"/>
              <w:bottom w:type="dxa" w:w="55"/>
              <w:right w:type="dxa" w:w="85"/>
            </w:tcMar>
          </w:tcPr>
          <w:p>
            <w:pPr>
              <w:spacing w:after="0" w:line="256"/>
            </w:pPr>
            <w:r>
              <w:rPr>
                <w:color w:val="000000"/>
                <w:sz w:val="19"/>
                <w:szCs w:val="19"/>
              </w:rPr>
              <w:t xml:space="preserve">Continuidad y calidad de compra</w:t>
            </w:r>
          </w:p>
        </w:tc>
        <w:tc>
          <w:tcPr>
            <w:tcW w:type="dxa" w:w="2000"/>
            <w:shd w:fill="FFFFFF" w:color="auto" w:val="clear"/>
            <w:tcMar>
              <w:top w:type="dxa" w:w="55"/>
              <w:left w:type="dxa" w:w="85"/>
              <w:bottom w:type="dxa" w:w="55"/>
              <w:right w:type="dxa" w:w="85"/>
            </w:tcMar>
          </w:tcPr>
          <w:p>
            <w:pPr>
              <w:spacing w:after="0" w:line="256"/>
            </w:pPr>
            <w:r>
              <w:rPr>
                <w:color w:val="000000"/>
                <w:sz w:val="19"/>
                <w:szCs w:val="19"/>
              </w:rPr>
              <w:t xml:space="preserve">Neutral · Infl. baja · Interés medio</w:t>
            </w:r>
          </w:p>
        </w:tc>
      </w:tr>
      <w:tr>
        <w:tc>
          <w:tcPr>
            <w:tcW w:type="dxa" w:w="2200"/>
            <w:shd w:fill="F2F5FB" w:color="auto" w:val="clear"/>
            <w:tcMar>
              <w:top w:type="dxa" w:w="55"/>
              <w:left w:type="dxa" w:w="85"/>
              <w:bottom w:type="dxa" w:w="55"/>
              <w:right w:type="dxa" w:w="85"/>
            </w:tcMar>
          </w:tcPr>
          <w:p>
            <w:pPr>
              <w:spacing w:after="0" w:line="256"/>
            </w:pPr>
            <w:r>
              <w:rPr>
                <w:color w:val="000000"/>
                <w:sz w:val="19"/>
                <w:szCs w:val="19"/>
              </w:rPr>
              <w:t xml:space="preserve">Reparto/logística</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Panel de pedidos</w:t>
            </w:r>
          </w:p>
        </w:tc>
        <w:tc>
          <w:tcPr>
            <w:tcW w:type="dxa" w:w="2560"/>
            <w:shd w:fill="F2F5FB" w:color="auto" w:val="clear"/>
            <w:tcMar>
              <w:top w:type="dxa" w:w="55"/>
              <w:left w:type="dxa" w:w="85"/>
              <w:bottom w:type="dxa" w:w="55"/>
              <w:right w:type="dxa" w:w="85"/>
            </w:tcMar>
          </w:tcPr>
          <w:p>
            <w:pPr>
              <w:spacing w:after="0" w:line="256"/>
            </w:pPr>
            <w:r>
              <w:rPr>
                <w:color w:val="000000"/>
                <w:sz w:val="19"/>
                <w:szCs w:val="19"/>
              </w:rPr>
              <w:t xml:space="preserve">Panel fácil de usar</w:t>
            </w:r>
          </w:p>
        </w:tc>
        <w:tc>
          <w:tcPr>
            <w:tcW w:type="dxa" w:w="2000"/>
            <w:shd w:fill="F2F5FB" w:color="auto" w:val="clear"/>
            <w:tcMar>
              <w:top w:type="dxa" w:w="55"/>
              <w:left w:type="dxa" w:w="85"/>
              <w:bottom w:type="dxa" w:w="55"/>
              <w:right w:type="dxa" w:w="85"/>
            </w:tcMar>
          </w:tcPr>
          <w:p>
            <w:pPr>
              <w:spacing w:after="0" w:line="256"/>
            </w:pPr>
            <w:r>
              <w:rPr>
                <w:color w:val="000000"/>
                <w:sz w:val="19"/>
                <w:szCs w:val="19"/>
              </w:rPr>
              <w:t xml:space="preserve">Neutral · Infl. baja · Interés medio</w:t>
            </w:r>
          </w:p>
        </w:tc>
      </w:tr>
    </w:tbl>
    <w:p>
      <w:pPr>
        <w:pStyle w:val="Heading2"/>
        <w:spacing w:after="80" w:before="190"/>
      </w:pPr>
      <w:r>
        <w:rPr>
          <w:b/>
          <w:bCs/>
          <w:color w:val="2E5496"/>
          <w:sz w:val="22"/>
          <w:szCs w:val="22"/>
        </w:rPr>
        <w:t xml:space="preserve">3. Estrategias de gestión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Estrategia (poder/interés)</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Interesados y acciones</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Gestionar atentamente</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Iván, Carlos, Felipe: participación continua; Sprint Review quincenal; decisiones por consenso.</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Mantener satisfecho</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Docente guía: reportes formales según calendario del curso.</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Mantener informado</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Clientes: comunicación previa a la migración por los canales del negocio.</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Monitorear</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Reparto/logística: capacitación del panel en la semana 14.</w:t>
            </w:r>
          </w:p>
        </w:tc>
      </w:tr>
    </w:tbl>
    <w:p>
      <w:pPr>
        <w:pStyle w:val="Heading1"/>
        <w:spacing w:after="100" w:before="250"/>
      </w:pPr>
      <w:r>
        <w:rPr>
          <w:b/>
          <w:bCs/>
          <w:color w:val="1F3864"/>
          <w:sz w:val="25"/>
          <w:szCs w:val="25"/>
        </w:rPr>
        <w:t xml:space="preserve">Líneas base del proyecto</w:t>
      </w:r>
    </w:p>
    <w:p>
      <w:pPr>
        <w:pStyle w:val="Heading2"/>
        <w:spacing w:after="80" w:before="190"/>
      </w:pPr>
      <w:r>
        <w:rPr>
          <w:b/>
          <w:bCs/>
          <w:color w:val="2E5496"/>
          <w:sz w:val="22"/>
          <w:szCs w:val="22"/>
        </w:rPr>
        <w:t xml:space="preserve">Línea base de alcance</w:t>
      </w:r>
    </w:p>
    <w:p>
      <w:pPr>
        <w:spacing w:after="120" w:line="274"/>
      </w:pPr>
      <w:r>
        <w:rPr>
          <w:sz w:val="21"/>
          <w:szCs w:val="21"/>
        </w:rPr>
        <w:t xml:space="preserve">Versión aprobada del Enunciado del Alcance, la EDT y su Diccionario (Anexo A): 25 RF y 14 RNF del MVP. Solo se modifica mediante control de cambios.</w:t>
      </w:r>
    </w:p>
    <w:p>
      <w:pPr>
        <w:pStyle w:val="Heading2"/>
        <w:spacing w:after="80" w:before="190"/>
      </w:pPr>
      <w:r>
        <w:rPr>
          <w:b/>
          <w:bCs/>
          <w:color w:val="2E5496"/>
          <w:sz w:val="22"/>
          <w:szCs w:val="22"/>
        </w:rPr>
        <w:t xml:space="preserve">Línea base de cronograma</w:t>
      </w:r>
    </w:p>
    <w:p>
      <w:pPr>
        <w:spacing w:after="120" w:line="274"/>
      </w:pPr>
      <w:r>
        <w:rPr>
          <w:sz w:val="21"/>
          <w:szCs w:val="21"/>
        </w:rPr>
        <w:t xml:space="preserve">Programación aprobada en MS Project: 5 fases en 18 semanas, con los hitos de Acta (22-ago), Plan de Dirección (19-sep), fin de sprints (14-nov), Go-Live (21-nov) y entrega final/defensa (12-dic).</w:t>
      </w:r>
    </w:p>
    <w:p>
      <w:pPr>
        <w:pStyle w:val="Heading2"/>
        <w:spacing w:after="80" w:before="190"/>
      </w:pPr>
      <w:r>
        <w:rPr>
          <w:b/>
          <w:bCs/>
          <w:color w:val="2E5496"/>
          <w:sz w:val="22"/>
          <w:szCs w:val="22"/>
        </w:rPr>
        <w:t xml:space="preserve">Línea base de costo</w:t>
      </w:r>
    </w:p>
    <w:p>
      <w:pPr>
        <w:spacing w:after="120" w:line="274"/>
      </w:pPr>
      <w:r>
        <w:rPr>
          <w:sz w:val="21"/>
          <w:szCs w:val="21"/>
        </w:rPr>
        <w:t xml:space="preserve">Presupuesto anual autorizado de $508.795 CLP (subtotal $442.430 + 15% contingencia), financiado por el cliente; labor de desarrollo $0.</w:t>
      </w:r>
    </w:p>
    <w:p>
      <w:pPr>
        <w:pStyle w:val="Heading2"/>
        <w:spacing w:after="80" w:before="190"/>
      </w:pPr>
      <w:r>
        <w:rPr>
          <w:b/>
          <w:bCs/>
          <w:color w:val="2E5496"/>
          <w:sz w:val="22"/>
          <w:szCs w:val="22"/>
        </w:rPr>
        <w:t xml:space="preserve">Línea base para la medición del desempeño</w:t>
      </w:r>
    </w:p>
    <w:p>
      <w:pPr>
        <w:spacing w:after="120" w:line="274"/>
      </w:pPr>
      <w:r>
        <w:rPr>
          <w:sz w:val="21"/>
          <w:szCs w:val="21"/>
        </w:rPr>
        <w:t xml:space="preserve">Integra las tres anteriores. Como el costo de desarrollo es $0 y el plazo es fijo, el seguimiento se centra en el avance de alcance (historias “Terminadas”) y el cumplimiento de hitos, complementado por los KPI de calidad.</w:t>
      </w:r>
    </w:p>
    <w:p>
      <w:pPr>
        <w:pStyle w:val="Heading1"/>
        <w:spacing w:after="100" w:before="250"/>
      </w:pPr>
      <w:r>
        <w:rPr>
          <w:b/>
          <w:bCs/>
          <w:color w:val="1F3864"/>
          <w:sz w:val="25"/>
          <w:szCs w:val="25"/>
        </w:rPr>
        <w:t xml:space="preserve">Componentes adicionales del plan de gestión</w:t>
      </w:r>
    </w:p>
    <w:p>
      <w:pPr>
        <w:pStyle w:val="Heading1"/>
        <w:spacing w:after="100" w:before="250"/>
      </w:pPr>
      <w:r>
        <w:rPr>
          <w:b/>
          <w:bCs/>
          <w:color w:val="1F3864"/>
          <w:sz w:val="25"/>
          <w:szCs w:val="25"/>
        </w:rPr>
        <w:t xml:space="preserve">Plan de Gestión de Cambios</w:t>
      </w:r>
    </w:p>
    <w:p>
      <w:pPr>
        <w:pStyle w:val="Heading2"/>
        <w:spacing w:after="80" w:before="190"/>
      </w:pPr>
      <w:r>
        <w:rPr>
          <w:b/>
          <w:bCs/>
          <w:color w:val="2E5496"/>
          <w:sz w:val="22"/>
          <w:szCs w:val="22"/>
        </w:rPr>
        <w:t xml:space="preserve">1. Propósito</w:t>
      </w:r>
    </w:p>
    <w:p>
      <w:pPr>
        <w:spacing w:after="120" w:line="274"/>
      </w:pPr>
      <w:r>
        <w:rPr>
          <w:sz w:val="21"/>
          <w:szCs w:val="21"/>
        </w:rPr>
        <w:t xml:space="preserve">Define el proceso formal para solicitar, evaluar, aprobar o rechazar e implementar cambios a las líneas base (alcance, cronograma, costo y calidad). Es el mecanismo principal frente al scope creep.</w:t>
      </w:r>
    </w:p>
    <w:p>
      <w:pPr>
        <w:pStyle w:val="Heading2"/>
        <w:spacing w:after="80" w:before="190"/>
      </w:pPr>
      <w:r>
        <w:rPr>
          <w:b/>
          <w:bCs/>
          <w:color w:val="2E5496"/>
          <w:sz w:val="22"/>
          <w:szCs w:val="22"/>
        </w:rPr>
        <w:t xml:space="preserve">2. Comité de Control de Cambios (CCB)</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1F3864" w:color="auto" w:val="clear"/>
            <w:tcMar>
              <w:top w:type="dxa" w:w="55"/>
              <w:left w:type="dxa" w:w="85"/>
              <w:bottom w:type="dxa" w:w="55"/>
              <w:right w:type="dxa" w:w="85"/>
            </w:tcMar>
          </w:tcPr>
          <w:p>
            <w:pPr>
              <w:spacing w:after="0" w:line="256"/>
            </w:pPr>
            <w:r>
              <w:rPr>
                <w:b/>
                <w:bCs/>
                <w:color w:val="FFFFFF"/>
                <w:sz w:val="19"/>
                <w:szCs w:val="19"/>
              </w:rPr>
              <w:t xml:space="preserve">Integrante del CCB</w:t>
            </w:r>
          </w:p>
        </w:tc>
        <w:tc>
          <w:tcPr>
            <w:tcW w:type="dxa" w:w="6160"/>
            <w:shd w:fill="1F3864" w:color="auto" w:val="clear"/>
            <w:tcMar>
              <w:top w:type="dxa" w:w="55"/>
              <w:left w:type="dxa" w:w="85"/>
              <w:bottom w:type="dxa" w:w="55"/>
              <w:right w:type="dxa" w:w="85"/>
            </w:tcMar>
          </w:tcPr>
          <w:p>
            <w:pPr>
              <w:spacing w:after="0" w:line="256"/>
            </w:pPr>
            <w:r>
              <w:rPr>
                <w:b/>
                <w:bCs/>
                <w:color w:val="FFFFFF"/>
                <w:sz w:val="19"/>
                <w:szCs w:val="19"/>
              </w:rPr>
              <w:t xml:space="preserve">Rol en el comité</w:t>
            </w:r>
          </w:p>
        </w:tc>
      </w:tr>
      <w:tr>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Autoridad final de aprobación.</w:t>
            </w:r>
          </w:p>
        </w:tc>
      </w:tr>
      <w:tr>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Evalúa factibilidad técnica y de datos.</w:t>
            </w:r>
          </w:p>
        </w:tc>
      </w:tr>
      <w:tr>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Evalúa impacto en interfaz / UX.</w:t>
            </w:r>
          </w:p>
        </w:tc>
      </w:tr>
      <w:tr>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Docente guía (consulta)</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Cuando el cambio afecta el compromiso académico.</w:t>
            </w:r>
          </w:p>
        </w:tc>
      </w:tr>
    </w:tbl>
    <w:p>
      <w:pPr>
        <w:pStyle w:val="Heading2"/>
        <w:spacing w:after="80" w:before="190"/>
      </w:pPr>
      <w:r>
        <w:rPr>
          <w:b/>
          <w:bCs/>
          <w:color w:val="2E5496"/>
          <w:sz w:val="22"/>
          <w:szCs w:val="22"/>
        </w:rPr>
        <w:t xml:space="preserve">3. Registro de cambios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000"/>
        <w:gridCol w:w="4560"/>
        <w:gridCol w:w="1900"/>
        <w:gridCol w:w="1000"/>
        <w:gridCol w:w="900"/>
      </w:tblGrid>
      <w:tr>
        <w:trPr>
          <w:tblHeader/>
        </w:trPr>
        <w:tc>
          <w:tcPr>
            <w:tcW w:type="dxa" w:w="1000"/>
            <w:shd w:fill="1F3864" w:color="auto" w:val="clear"/>
            <w:tcMar>
              <w:top w:type="dxa" w:w="55"/>
              <w:left w:type="dxa" w:w="85"/>
              <w:bottom w:type="dxa" w:w="55"/>
              <w:right w:type="dxa" w:w="85"/>
            </w:tcMar>
          </w:tcPr>
          <w:p>
            <w:pPr>
              <w:spacing w:after="0" w:line="256"/>
            </w:pPr>
            <w:r>
              <w:rPr>
                <w:b/>
                <w:bCs/>
                <w:color w:val="FFFFFF"/>
                <w:sz w:val="19"/>
                <w:szCs w:val="19"/>
              </w:rPr>
              <w:t xml:space="preserve">Nº</w:t>
            </w:r>
          </w:p>
        </w:tc>
        <w:tc>
          <w:tcPr>
            <w:tcW w:type="dxa" w:w="4560"/>
            <w:shd w:fill="1F3864" w:color="auto" w:val="clear"/>
            <w:tcMar>
              <w:top w:type="dxa" w:w="55"/>
              <w:left w:type="dxa" w:w="85"/>
              <w:bottom w:type="dxa" w:w="55"/>
              <w:right w:type="dxa" w:w="85"/>
            </w:tcMar>
          </w:tcPr>
          <w:p>
            <w:pPr>
              <w:spacing w:after="0" w:line="256"/>
            </w:pPr>
            <w:r>
              <w:rPr>
                <w:b/>
                <w:bCs/>
                <w:color w:val="FFFFFF"/>
                <w:sz w:val="19"/>
                <w:szCs w:val="19"/>
              </w:rPr>
              <w:t xml:space="preserve">Descripción</w:t>
            </w:r>
          </w:p>
        </w:tc>
        <w:tc>
          <w:tcPr>
            <w:tcW w:type="dxa" w:w="1900"/>
            <w:shd w:fill="1F3864" w:color="auto" w:val="clear"/>
            <w:tcMar>
              <w:top w:type="dxa" w:w="55"/>
              <w:left w:type="dxa" w:w="85"/>
              <w:bottom w:type="dxa" w:w="55"/>
              <w:right w:type="dxa" w:w="85"/>
            </w:tcMar>
          </w:tcPr>
          <w:p>
            <w:pPr>
              <w:spacing w:after="0" w:line="256"/>
            </w:pPr>
            <w:r>
              <w:rPr>
                <w:b/>
                <w:bCs/>
                <w:color w:val="FFFFFF"/>
                <w:sz w:val="19"/>
                <w:szCs w:val="19"/>
              </w:rPr>
              <w:t xml:space="preserve">Solicitante</w:t>
            </w:r>
          </w:p>
        </w:tc>
        <w:tc>
          <w:tcPr>
            <w:tcW w:type="dxa" w:w="1000"/>
            <w:shd w:fill="1F3864" w:color="auto" w:val="clear"/>
            <w:tcMar>
              <w:top w:type="dxa" w:w="55"/>
              <w:left w:type="dxa" w:w="85"/>
              <w:bottom w:type="dxa" w:w="55"/>
              <w:right w:type="dxa" w:w="85"/>
            </w:tcMar>
          </w:tcPr>
          <w:p>
            <w:pPr>
              <w:spacing w:after="0" w:line="256"/>
            </w:pPr>
            <w:r>
              <w:rPr>
                <w:b/>
                <w:bCs/>
                <w:color w:val="FFFFFF"/>
                <w:sz w:val="19"/>
                <w:szCs w:val="19"/>
              </w:rPr>
              <w:t xml:space="preserve">Decisión</w:t>
            </w:r>
          </w:p>
        </w:tc>
        <w:tc>
          <w:tcPr>
            <w:tcW w:type="dxa" w:w="9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r>
      <w:tr>
        <w:tc>
          <w:tcPr>
            <w:tcW w:type="dxa" w:w="1000"/>
            <w:shd w:fill="FFFFFF" w:color="auto" w:val="clear"/>
            <w:tcMar>
              <w:top w:type="dxa" w:w="55"/>
              <w:left w:type="dxa" w:w="85"/>
              <w:bottom w:type="dxa" w:w="55"/>
              <w:right w:type="dxa" w:w="85"/>
            </w:tcMar>
          </w:tcPr>
          <w:p>
            <w:pPr>
              <w:spacing w:after="0" w:line="256"/>
            </w:pPr>
            <w:r>
              <w:rPr>
                <w:b/>
                <w:bCs/>
                <w:color w:val="000000"/>
                <w:sz w:val="19"/>
                <w:szCs w:val="19"/>
              </w:rPr>
              <w:t xml:space="preserve">SC-01</w:t>
            </w:r>
          </w:p>
        </w:tc>
        <w:tc>
          <w:tcPr>
            <w:tcW w:type="dxa" w:w="4560"/>
            <w:shd w:fill="FFFFFF" w:color="auto" w:val="clear"/>
            <w:tcMar>
              <w:top w:type="dxa" w:w="55"/>
              <w:left w:type="dxa" w:w="85"/>
              <w:bottom w:type="dxa" w:w="55"/>
              <w:right w:type="dxa" w:w="85"/>
            </w:tcMar>
          </w:tcPr>
          <w:p>
            <w:pPr>
              <w:spacing w:after="0" w:line="256"/>
            </w:pPr>
            <w:r>
              <w:rPr>
                <w:color w:val="000000"/>
                <w:sz w:val="19"/>
                <w:szCs w:val="19"/>
              </w:rPr>
              <w:t xml:space="preserve">Reemplaza la restricción de “solo herramientas gratuitas” por infraestructura y servicios pagos financiados por el cliente (Supabase Pro, OpenFactura, certificado); línea base de costo $508.795 CLP/año.</w:t>
            </w:r>
          </w:p>
        </w:tc>
        <w:tc>
          <w:tcPr>
            <w:tcW w:type="dxa" w:w="1900"/>
            <w:shd w:fill="FFFFFF" w:color="auto" w:val="clear"/>
            <w:tcMar>
              <w:top w:type="dxa" w:w="55"/>
              <w:left w:type="dxa" w:w="85"/>
              <w:bottom w:type="dxa" w:w="55"/>
              <w:right w:type="dxa" w:w="85"/>
            </w:tcMar>
          </w:tcPr>
          <w:p>
            <w:pPr>
              <w:spacing w:after="0" w:line="256"/>
            </w:pPr>
            <w:r>
              <w:rPr>
                <w:color w:val="000000"/>
                <w:sz w:val="19"/>
                <w:szCs w:val="19"/>
              </w:rPr>
              <w:t xml:space="preserve">Carlos Fuentes / Grupo N3</w:t>
            </w:r>
          </w:p>
        </w:tc>
        <w:tc>
          <w:tcPr>
            <w:tcW w:type="dxa" w:w="1000"/>
            <w:shd w:fill="FFFFFF" w:color="auto" w:val="clear"/>
            <w:tcMar>
              <w:top w:type="dxa" w:w="55"/>
              <w:left w:type="dxa" w:w="85"/>
              <w:bottom w:type="dxa" w:w="55"/>
              <w:right w:type="dxa" w:w="85"/>
            </w:tcMar>
          </w:tcPr>
          <w:p>
            <w:pPr>
              <w:spacing w:after="0" w:line="256"/>
            </w:pPr>
            <w:r>
              <w:rPr>
                <w:b/>
                <w:bCs/>
                <w:color w:val="375623"/>
                <w:sz w:val="19"/>
                <w:szCs w:val="19"/>
              </w:rPr>
              <w:t xml:space="preserve">Aprobado</w:t>
            </w:r>
          </w:p>
        </w:tc>
        <w:tc>
          <w:tcPr>
            <w:tcW w:type="dxa" w:w="900"/>
            <w:shd w:fill="FFFFFF" w:color="auto" w:val="clear"/>
            <w:tcMar>
              <w:top w:type="dxa" w:w="55"/>
              <w:left w:type="dxa" w:w="85"/>
              <w:bottom w:type="dxa" w:w="55"/>
              <w:right w:type="dxa" w:w="85"/>
            </w:tcMar>
          </w:tcPr>
          <w:p>
            <w:pPr>
              <w:spacing w:after="0" w:line="256"/>
            </w:pPr>
            <w:r>
              <w:rPr>
                <w:color w:val="000000"/>
                <w:sz w:val="19"/>
                <w:szCs w:val="19"/>
              </w:rPr>
              <w:t xml:space="preserve">14-09-2026</w:t>
            </w:r>
          </w:p>
        </w:tc>
      </w:tr>
      <w:tr>
        <w:tc>
          <w:tcPr>
            <w:tcW w:type="dxa" w:w="1000"/>
            <w:shd w:fill="F2F5FB" w:color="auto" w:val="clear"/>
            <w:tcMar>
              <w:top w:type="dxa" w:w="55"/>
              <w:left w:type="dxa" w:w="85"/>
              <w:bottom w:type="dxa" w:w="55"/>
              <w:right w:type="dxa" w:w="85"/>
            </w:tcMar>
          </w:tcPr>
          <w:p>
            <w:pPr>
              <w:spacing w:after="0" w:line="256"/>
            </w:pPr>
            <w:r>
              <w:rPr>
                <w:b/>
                <w:bCs/>
                <w:color w:val="000000"/>
                <w:sz w:val="19"/>
                <w:szCs w:val="19"/>
              </w:rPr>
              <w:t xml:space="preserve">SC-02</w:t>
            </w:r>
          </w:p>
        </w:tc>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Cambio de frontend de Flutter a HTML/CSS/JS (backend Supabase sin cambios); app móvil nativa fuera de alcance (cobertura vía web responsiva/PWA).</w:t>
            </w:r>
          </w:p>
        </w:tc>
        <w:tc>
          <w:tcPr>
            <w:tcW w:type="dxa" w:w="1900"/>
            <w:shd w:fill="F2F5FB" w:color="auto" w:val="clear"/>
            <w:tcMar>
              <w:top w:type="dxa" w:w="55"/>
              <w:left w:type="dxa" w:w="85"/>
              <w:bottom w:type="dxa" w:w="55"/>
              <w:right w:type="dxa" w:w="85"/>
            </w:tcMar>
          </w:tcPr>
          <w:p>
            <w:pPr>
              <w:spacing w:after="0" w:line="256"/>
            </w:pPr>
            <w:r>
              <w:rPr>
                <w:color w:val="000000"/>
                <w:sz w:val="19"/>
                <w:szCs w:val="19"/>
              </w:rPr>
              <w:t xml:space="preserve">Carlos Fuentes / Grupo N3</w:t>
            </w:r>
          </w:p>
        </w:tc>
        <w:tc>
          <w:tcPr>
            <w:tcW w:type="dxa" w:w="1000"/>
            <w:shd w:fill="F2F5FB" w:color="auto" w:val="clear"/>
            <w:tcMar>
              <w:top w:type="dxa" w:w="55"/>
              <w:left w:type="dxa" w:w="85"/>
              <w:bottom w:type="dxa" w:w="55"/>
              <w:right w:type="dxa" w:w="85"/>
            </w:tcMar>
          </w:tcPr>
          <w:p>
            <w:pPr>
              <w:spacing w:after="0" w:line="256"/>
            </w:pPr>
            <w:r>
              <w:rPr>
                <w:b/>
                <w:bCs/>
                <w:color w:val="375623"/>
                <w:sz w:val="19"/>
                <w:szCs w:val="19"/>
              </w:rPr>
              <w:t xml:space="preserve">Aprobado</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22-09-2026</w:t>
            </w:r>
          </w:p>
        </w:tc>
      </w:tr>
      <w:tr>
        <w:tc>
          <w:tcPr>
            <w:tcW w:type="dxa" w:w="1000"/>
            <w:shd w:fill="F2F5FB" w:color="auto" w:val="clear"/>
            <w:tcMar>
              <w:top w:type="dxa" w:w="55"/>
              <w:left w:type="dxa" w:w="85"/>
              <w:bottom w:type="dxa" w:w="55"/>
              <w:right w:type="dxa" w:w="85"/>
            </w:tcMar>
          </w:tcPr>
          <w:p>
            <w:pPr>
              <w:spacing w:after="0" w:line="256"/>
            </w:pPr>
            <w:r>
              <w:rPr>
                <w:b/>
                <w:bCs/>
                <w:color w:val="000000"/>
                <w:sz w:val="19"/>
                <w:szCs w:val="19"/>
              </w:rPr>
              <w:t xml:space="preserve">SC-03</w:t>
            </w:r>
          </w:p>
        </w:tc>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Corrección de seguridad de pedidos (montos calculados en el servidor con crear_pedido()) y modelo de roles configurable (admin, chofer y roles nuevos).</w:t>
            </w:r>
          </w:p>
        </w:tc>
        <w:tc>
          <w:tcPr>
            <w:tcW w:type="dxa" w:w="1900"/>
            <w:shd w:fill="F2F5FB" w:color="auto" w:val="clear"/>
            <w:tcMar>
              <w:top w:type="dxa" w:w="55"/>
              <w:left w:type="dxa" w:w="85"/>
              <w:bottom w:type="dxa" w:w="55"/>
              <w:right w:type="dxa" w:w="85"/>
            </w:tcMar>
          </w:tcPr>
          <w:p>
            <w:pPr>
              <w:spacing w:after="0" w:line="256"/>
            </w:pPr>
            <w:r>
              <w:rPr>
                <w:color w:val="000000"/>
                <w:sz w:val="19"/>
                <w:szCs w:val="19"/>
              </w:rPr>
              <w:t xml:space="preserve">Carlos Fuentes / Grupo N3</w:t>
            </w:r>
          </w:p>
        </w:tc>
        <w:tc>
          <w:tcPr>
            <w:tcW w:type="dxa" w:w="1000"/>
            <w:shd w:fill="F2F5FB" w:color="auto" w:val="clear"/>
            <w:tcMar>
              <w:top w:type="dxa" w:w="55"/>
              <w:left w:type="dxa" w:w="85"/>
              <w:bottom w:type="dxa" w:w="55"/>
              <w:right w:type="dxa" w:w="85"/>
            </w:tcMar>
          </w:tcPr>
          <w:p>
            <w:pPr>
              <w:spacing w:after="0" w:line="256"/>
            </w:pPr>
            <w:r>
              <w:rPr>
                <w:b/>
                <w:bCs/>
                <w:color w:val="375623"/>
                <w:sz w:val="19"/>
                <w:szCs w:val="19"/>
              </w:rPr>
              <w:t xml:space="preserve">Aprobado</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09-10-2026</w:t>
            </w:r>
          </w:p>
        </w:tc>
      </w:tr>
      <w:tr>
        <w:tc>
          <w:tcPr>
            <w:tcW w:type="dxa" w:w="1000"/>
            <w:shd w:fill="F2F5FB" w:color="auto" w:val="clear"/>
            <w:tcMar>
              <w:top w:type="dxa" w:w="55"/>
              <w:left w:type="dxa" w:w="85"/>
              <w:bottom w:type="dxa" w:w="55"/>
              <w:right w:type="dxa" w:w="85"/>
            </w:tcMar>
          </w:tcPr>
          <w:p>
            <w:pPr>
              <w:spacing w:after="0" w:line="256"/>
            </w:pPr>
            <w:r>
              <w:rPr>
                <w:b/>
                <w:bCs/>
                <w:color w:val="000000"/>
                <w:sz w:val="19"/>
                <w:szCs w:val="19"/>
              </w:rPr>
              <w:t xml:space="preserve">SC-04</w:t>
            </w:r>
          </w:p>
        </w:tc>
        <w:tc>
          <w:tcPr>
            <w:tcW w:type="dxa" w:w="4560"/>
            <w:shd w:fill="F2F5FB" w:color="auto" w:val="clear"/>
            <w:tcMar>
              <w:top w:type="dxa" w:w="55"/>
              <w:left w:type="dxa" w:w="85"/>
              <w:bottom w:type="dxa" w:w="55"/>
              <w:right w:type="dxa" w:w="85"/>
            </w:tcMar>
          </w:tcPr>
          <w:p>
            <w:pPr>
              <w:spacing w:after="0" w:line="256"/>
            </w:pPr>
            <w:r>
              <w:rPr>
                <w:color w:val="000000"/>
                <w:sz w:val="19"/>
                <w:szCs w:val="19"/>
              </w:rPr>
              <w:t xml:space="preserve">Por decisión del cliente, Supabase se utiliza en su plan gratuito: se retira Supabase Pro del presupuesto (línea base de costo $508.795 CLP/año) y RNF-06 se redefine sin porcentaje de disponibilidad comprometido.</w:t>
            </w:r>
          </w:p>
        </w:tc>
        <w:tc>
          <w:tcPr>
            <w:tcW w:type="dxa" w:w="1900"/>
            <w:shd w:fill="F2F5FB" w:color="auto" w:val="clear"/>
            <w:tcMar>
              <w:top w:type="dxa" w:w="55"/>
              <w:left w:type="dxa" w:w="85"/>
              <w:bottom w:type="dxa" w:w="55"/>
              <w:right w:type="dxa" w:w="85"/>
            </w:tcMar>
          </w:tcPr>
          <w:p>
            <w:pPr>
              <w:spacing w:after="0" w:line="256"/>
            </w:pPr>
            <w:r>
              <w:rPr>
                <w:color w:val="000000"/>
                <w:sz w:val="19"/>
                <w:szCs w:val="19"/>
              </w:rPr>
              <w:t xml:space="preserve">Iván Rodríguez (Patrocinador / Cliente)</w:t>
            </w:r>
          </w:p>
        </w:tc>
        <w:tc>
          <w:tcPr>
            <w:tcW w:type="dxa" w:w="1000"/>
            <w:shd w:fill="F2F5FB" w:color="auto" w:val="clear"/>
            <w:tcMar>
              <w:top w:type="dxa" w:w="55"/>
              <w:left w:type="dxa" w:w="85"/>
              <w:bottom w:type="dxa" w:w="55"/>
              <w:right w:type="dxa" w:w="85"/>
            </w:tcMar>
          </w:tcPr>
          <w:p>
            <w:pPr>
              <w:spacing w:after="0" w:line="256"/>
            </w:pPr>
            <w:r>
              <w:rPr>
                <w:b/>
                <w:bCs/>
                <w:color w:val="375623"/>
                <w:sz w:val="19"/>
                <w:szCs w:val="19"/>
              </w:rPr>
              <w:t xml:space="preserve">Aprobado</w:t>
            </w:r>
          </w:p>
        </w:tc>
        <w:tc>
          <w:tcPr>
            <w:tcW w:type="dxa" w:w="900"/>
            <w:shd w:fill="F2F5FB" w:color="auto" w:val="clear"/>
            <w:tcMar>
              <w:top w:type="dxa" w:w="55"/>
              <w:left w:type="dxa" w:w="85"/>
              <w:bottom w:type="dxa" w:w="55"/>
              <w:right w:type="dxa" w:w="85"/>
            </w:tcMar>
          </w:tcPr>
          <w:p>
            <w:pPr>
              <w:spacing w:after="0" w:line="256"/>
            </w:pPr>
            <w:r>
              <w:rPr>
                <w:color w:val="000000"/>
                <w:sz w:val="19"/>
                <w:szCs w:val="19"/>
              </w:rPr>
              <w:t xml:space="preserve">09-10-2026</w:t>
            </w:r>
          </w:p>
        </w:tc>
      </w:tr>
    </w:tbl>
    <w:p>
      <w:pPr>
        <w:pStyle w:val="Heading1"/>
        <w:spacing w:after="100" w:before="250"/>
      </w:pPr>
      <w:r>
        <w:rPr>
          <w:b/>
          <w:bCs/>
          <w:color w:val="1F3864"/>
          <w:sz w:val="25"/>
          <w:szCs w:val="25"/>
        </w:rPr>
        <w:t xml:space="preserve">Plan de Gestión de la Configuración</w:t>
      </w:r>
    </w:p>
    <w:p>
      <w:pPr>
        <w:pStyle w:val="Heading2"/>
        <w:spacing w:after="80" w:before="190"/>
      </w:pPr>
      <w:r>
        <w:rPr>
          <w:b/>
          <w:bCs/>
          <w:color w:val="2E5496"/>
          <w:sz w:val="22"/>
          <w:szCs w:val="22"/>
        </w:rPr>
        <w:t xml:space="preserve">1. Propósito</w:t>
      </w:r>
    </w:p>
    <w:p>
      <w:pPr>
        <w:spacing w:after="120" w:line="274"/>
      </w:pPr>
      <w:r>
        <w:rPr>
          <w:sz w:val="21"/>
          <w:szCs w:val="21"/>
        </w:rPr>
        <w:t xml:space="preserve">Define cómo se identifican, controlan y auditan los elementos de configuración —código fuente, esquema de BD, ambientes y documentación— sobre el repositorio GitHub del Grupo N3.</w:t>
      </w:r>
    </w:p>
    <w:p>
      <w:pPr>
        <w:pStyle w:val="Heading2"/>
        <w:spacing w:after="80" w:before="190"/>
      </w:pPr>
      <w:r>
        <w:rPr>
          <w:b/>
          <w:bCs/>
          <w:color w:val="2E5496"/>
          <w:sz w:val="22"/>
          <w:szCs w:val="22"/>
        </w:rPr>
        <w:t xml:space="preserve">2. Elementos de configuración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760"/>
      </w:tblGrid>
      <w:tr>
        <w:trPr>
          <w:tblHeader/>
        </w:trPr>
        <w:tc>
          <w:tcPr>
            <w:tcW w:type="dxa" w:w="3600"/>
            <w:shd w:fill="1F3864" w:color="auto" w:val="clear"/>
            <w:tcMar>
              <w:top w:type="dxa" w:w="55"/>
              <w:left w:type="dxa" w:w="85"/>
              <w:bottom w:type="dxa" w:w="55"/>
              <w:right w:type="dxa" w:w="85"/>
            </w:tcMar>
          </w:tcPr>
          <w:p>
            <w:pPr>
              <w:spacing w:after="0" w:line="256"/>
            </w:pPr>
            <w:r>
              <w:rPr>
                <w:b/>
                <w:bCs/>
                <w:color w:val="FFFFFF"/>
                <w:sz w:val="19"/>
                <w:szCs w:val="19"/>
              </w:rPr>
              <w:t xml:space="preserve">Elemento</w:t>
            </w:r>
          </w:p>
        </w:tc>
        <w:tc>
          <w:tcPr>
            <w:tcW w:type="dxa" w:w="5760"/>
            <w:shd w:fill="1F3864" w:color="auto" w:val="clear"/>
            <w:tcMar>
              <w:top w:type="dxa" w:w="55"/>
              <w:left w:type="dxa" w:w="85"/>
              <w:bottom w:type="dxa" w:w="55"/>
              <w:right w:type="dxa" w:w="85"/>
            </w:tcMar>
          </w:tcPr>
          <w:p>
            <w:pPr>
              <w:spacing w:after="0" w:line="256"/>
            </w:pPr>
            <w:r>
              <w:rPr>
                <w:b/>
                <w:bCs/>
                <w:color w:val="FFFFFF"/>
                <w:sz w:val="19"/>
                <w:szCs w:val="19"/>
              </w:rPr>
              <w:t xml:space="preserve">Mecanismo de control</w:t>
            </w:r>
          </w:p>
        </w:tc>
      </w:tr>
      <w:tr>
        <w:tc>
          <w:tcPr>
            <w:tcW w:type="dxa" w:w="3600"/>
            <w:shd w:fill="FFFFFF" w:color="auto" w:val="clear"/>
            <w:tcMar>
              <w:top w:type="dxa" w:w="55"/>
              <w:left w:type="dxa" w:w="85"/>
              <w:bottom w:type="dxa" w:w="55"/>
              <w:right w:type="dxa" w:w="85"/>
            </w:tcMar>
          </w:tcPr>
          <w:p>
            <w:pPr>
              <w:spacing w:after="0" w:line="256"/>
            </w:pPr>
            <w:r>
              <w:rPr>
                <w:b w:val="false"/>
                <w:bCs w:val="false"/>
                <w:color w:val="000000"/>
                <w:sz w:val="19"/>
                <w:szCs w:val="19"/>
              </w:rPr>
              <w:t xml:space="preserve">Código fuente (HTML/CSS/JS, Edge Functions)</w:t>
            </w:r>
          </w:p>
        </w:tc>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Repositorio GitHub del Grupo N3, control de versiones Git.</w:t>
            </w:r>
          </w:p>
        </w:tc>
      </w:tr>
      <w:tr>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Esquema de base de datos (PostgreSQL/Supabase)</w:t>
            </w:r>
          </w:p>
        </w:tc>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Migraciones versionadas en el repositorio.</w:t>
            </w:r>
          </w:p>
        </w:tc>
      </w:tr>
      <w:tr>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Configuración de despliegue</w:t>
            </w:r>
          </w:p>
        </w:tc>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Archivos e imágenes Docker versionados.</w:t>
            </w:r>
          </w:p>
        </w:tc>
      </w:tr>
      <w:tr>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Backlog y tareas</w:t>
            </w:r>
          </w:p>
        </w:tc>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GitHub Projects (Kanban).</w:t>
            </w:r>
          </w:p>
        </w:tc>
      </w:tr>
      <w:tr>
        <w:tc>
          <w:tcPr>
            <w:tcW w:type="dxa" w:w="3600"/>
            <w:shd w:fill="FFFFFF" w:color="auto" w:val="clear"/>
            <w:tcMar>
              <w:top w:type="dxa" w:w="55"/>
              <w:left w:type="dxa" w:w="85"/>
              <w:bottom w:type="dxa" w:w="55"/>
              <w:right w:type="dxa" w:w="85"/>
            </w:tcMar>
          </w:tcPr>
          <w:p>
            <w:pPr>
              <w:spacing w:after="0" w:line="256"/>
            </w:pPr>
            <w:r>
              <w:rPr>
                <w:color w:val="000000"/>
                <w:sz w:val="19"/>
                <w:szCs w:val="19"/>
              </w:rPr>
              <w:t xml:space="preserve">Documentación</w:t>
            </w:r>
          </w:p>
        </w:tc>
        <w:tc>
          <w:tcPr>
            <w:tcW w:type="dxa" w:w="5760"/>
            <w:shd w:fill="FFFFFF" w:color="auto" w:val="clear"/>
            <w:tcMar>
              <w:top w:type="dxa" w:w="55"/>
              <w:left w:type="dxa" w:w="85"/>
              <w:bottom w:type="dxa" w:w="55"/>
              <w:right w:type="dxa" w:w="85"/>
            </w:tcMar>
          </w:tcPr>
          <w:p>
            <w:pPr>
              <w:spacing w:after="0" w:line="256"/>
            </w:pPr>
            <w:r>
              <w:rPr>
                <w:color w:val="000000"/>
                <w:sz w:val="19"/>
                <w:szCs w:val="19"/>
              </w:rPr>
              <w:t xml:space="preserve">Documentos versionados con número de versión y fecha.</w:t>
            </w:r>
          </w:p>
        </w:tc>
      </w:tr>
      <w:tr>
        <w:tc>
          <w:tcPr>
            <w:tcW w:type="dxa" w:w="3600"/>
            <w:shd w:fill="F2F5FB" w:color="auto" w:val="clear"/>
            <w:tcMar>
              <w:top w:type="dxa" w:w="55"/>
              <w:left w:type="dxa" w:w="85"/>
              <w:bottom w:type="dxa" w:w="55"/>
              <w:right w:type="dxa" w:w="85"/>
            </w:tcMar>
          </w:tcPr>
          <w:p>
            <w:pPr>
              <w:spacing w:after="0" w:line="256"/>
            </w:pPr>
            <w:r>
              <w:rPr>
                <w:color w:val="000000"/>
                <w:sz w:val="19"/>
                <w:szCs w:val="19"/>
              </w:rPr>
              <w:t xml:space="preserve">Credenciales y llaves de API</w:t>
            </w:r>
          </w:p>
        </w:tc>
        <w:tc>
          <w:tcPr>
            <w:tcW w:type="dxa" w:w="5760"/>
            <w:shd w:fill="F2F5FB" w:color="auto" w:val="clear"/>
            <w:tcMar>
              <w:top w:type="dxa" w:w="55"/>
              <w:left w:type="dxa" w:w="85"/>
              <w:bottom w:type="dxa" w:w="55"/>
              <w:right w:type="dxa" w:w="85"/>
            </w:tcMar>
          </w:tcPr>
          <w:p>
            <w:pPr>
              <w:spacing w:after="0" w:line="256"/>
            </w:pPr>
            <w:r>
              <w:rPr>
                <w:color w:val="000000"/>
                <w:sz w:val="19"/>
                <w:szCs w:val="19"/>
              </w:rPr>
              <w:t xml:space="preserve">Variables de entorno; nunca versionadas (RNF-04).</w:t>
            </w:r>
          </w:p>
        </w:tc>
      </w:tr>
    </w:tbl>
    <w:p>
      <w:pPr>
        <w:spacing w:after="120" w:line="274"/>
      </w:pPr>
      <w:r>
        <w:rPr>
          <w:i/>
          <w:iCs/>
          <w:color w:val="595959"/>
          <w:sz w:val="19"/>
          <w:szCs w:val="19"/>
        </w:rPr>
        <w:t xml:space="preserve">Código fuente actualizado por SC-02 (antes “Flutter, Edge Functions”).</w:t>
      </w:r>
    </w:p>
    <w:p>
      <w:pPr>
        <w:pStyle w:val="Heading1"/>
        <w:spacing w:after="100" w:before="250"/>
      </w:pPr>
      <w:r>
        <w:rPr>
          <w:b/>
          <w:bCs/>
          <w:color w:val="1F3864"/>
          <w:sz w:val="25"/>
          <w:szCs w:val="25"/>
        </w:rPr>
        <w:t xml:space="preserve">Descripción del ciclo de vida del proyecto</w:t>
      </w:r>
    </w:p>
    <w:p>
      <w:pPr>
        <w:spacing w:after="120" w:line="274"/>
      </w:pPr>
      <w:r>
        <w:rPr>
          <w:sz w:val="21"/>
          <w:szCs w:val="21"/>
        </w:rPr>
        <w:t xml:space="preserve">Ciclo de vida híbrido: marco predictivo (PMBOK) para la dirección global —Inicio, Planificación, Monitoreo y Control, Cierre— y enfoque adaptativo (Scrum) para la construcción del producto en la Ejecución, en sprints de 2 semanas.</w:t>
      </w:r>
    </w:p>
    <w:p>
      <w:pPr>
        <w:pStyle w:val="Heading1"/>
        <w:spacing w:after="100" w:before="250"/>
      </w:pPr>
      <w:r>
        <w:rPr>
          <w:b/>
          <w:bCs/>
          <w:color w:val="1F3864"/>
          <w:sz w:val="25"/>
          <w:szCs w:val="25"/>
        </w:rPr>
        <w:t xml:space="preserve">Enfoque de desarrollo del plan de proyecto</w:t>
      </w:r>
    </w:p>
    <w:p>
      <w:pPr>
        <w:spacing w:after="120" w:line="274"/>
      </w:pPr>
      <w:r>
        <w:rPr>
          <w:sz w:val="21"/>
          <w:szCs w:val="21"/>
        </w:rPr>
        <w:t xml:space="preserve">Desarrollo iterativo e incremental en sprints de 2 semanas, con backlog priorizado y Kanban en GitHub Projects. Equipo full-stack rotativo. Cada sprint entrega un incremento validable en la Sprint Review, absorbiendo la disponibilidad acotada del equipo y controlando el scope creep dentro del plazo fijo.</w:t>
      </w:r>
    </w:p>
    <w:p>
      <w:pPr>
        <w:pStyle w:val="Heading1"/>
        <w:spacing w:after="100" w:before="250"/>
      </w:pPr>
      <w:r>
        <w:rPr>
          <w:b/>
          <w:bCs/>
          <w:color w:val="1F3864"/>
          <w:sz w:val="25"/>
          <w:szCs w:val="25"/>
        </w:rPr>
        <w:t xml:space="preserve">Evaluaciones de la gerencia</w:t>
      </w:r>
    </w:p>
    <w:p>
      <w:pPr>
        <w:spacing w:after="120" w:line="274"/>
      </w:pPr>
      <w:r>
        <w:rPr>
          <w:sz w:val="21"/>
          <w:szCs w:val="21"/>
        </w:rPr>
        <w:t xml:space="preserve">El avance se evalúa en dos planos: (1) de negocio, en cada Sprint Review con el patrocinador; y (2) académico, en los cortes del curso PTY4614 ante el docente guía y, al cierre, ante la comisión. Los puntos clave coinciden con los hitos: Acta, Plan de Dirección, fin de sprints, Go-Live y defensa.</w:t>
      </w:r>
    </w:p>
    <w:p>
      <w:pPr>
        <w:pStyle w:val="Heading1"/>
        <w:spacing w:after="100" w:before="250"/>
      </w:pPr>
      <w:r>
        <w:rPr>
          <w:b/>
          <w:bCs/>
          <w:color w:val="1F3864"/>
          <w:sz w:val="25"/>
          <w:szCs w:val="25"/>
        </w:rPr>
        <w:t xml:space="preserve">Anexo A — Estructura de Desglose del Trabajo (EDT) y Diccionario</w:t>
      </w:r>
    </w:p>
    <w:p>
      <w:pPr>
        <w:spacing w:after="120" w:line="274"/>
      </w:pPr>
      <w:r>
        <w:rPr>
          <w:sz w:val="21"/>
          <w:szCs w:val="21"/>
        </w:rPr>
        <w:t xml:space="preserve">La EDT descompone el alcance en 8 componentes de primer nivel, base de las líneas base de alcance, cronograma y costo. Diccionario por paquete de trabajo (segundo nivel):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3200"/>
        <w:gridCol w:w="48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Código</w:t>
            </w:r>
          </w:p>
        </w:tc>
        <w:tc>
          <w:tcPr>
            <w:tcW w:type="dxa" w:w="3200"/>
            <w:shd w:fill="1F3864" w:color="auto" w:val="clear"/>
            <w:tcMar>
              <w:top w:type="dxa" w:w="55"/>
              <w:left w:type="dxa" w:w="85"/>
              <w:bottom w:type="dxa" w:w="55"/>
              <w:right w:type="dxa" w:w="85"/>
            </w:tcMar>
          </w:tcPr>
          <w:p>
            <w:pPr>
              <w:spacing w:after="0" w:line="256"/>
            </w:pPr>
            <w:r>
              <w:rPr>
                <w:b/>
                <w:bCs/>
                <w:color w:val="FFFFFF"/>
                <w:sz w:val="19"/>
                <w:szCs w:val="19"/>
              </w:rPr>
              <w:t xml:space="preserve">Paquete de trabajo</w:t>
            </w:r>
          </w:p>
        </w:tc>
        <w:tc>
          <w:tcPr>
            <w:tcW w:type="dxa" w:w="4860"/>
            <w:shd w:fill="1F3864" w:color="auto" w:val="clear"/>
            <w:tcMar>
              <w:top w:type="dxa" w:w="55"/>
              <w:left w:type="dxa" w:w="85"/>
              <w:bottom w:type="dxa" w:w="55"/>
              <w:right w:type="dxa" w:w="85"/>
            </w:tcMar>
          </w:tcPr>
          <w:p>
            <w:pPr>
              <w:spacing w:after="0" w:line="256"/>
            </w:pPr>
            <w:r>
              <w:rPr>
                <w:b/>
                <w:bCs/>
                <w:color w:val="FFFFFF"/>
                <w:sz w:val="19"/>
                <w:szCs w:val="19"/>
              </w:rPr>
              <w:t xml:space="preserve">Descripción y requerimientos</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1</w:t>
            </w:r>
          </w:p>
        </w:tc>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Gestión del Proyecto</w:t>
            </w:r>
          </w:p>
        </w:tc>
        <w:tc>
          <w:tcPr>
            <w:tcW w:type="dxa" w:w="4860"/>
            <w:shd w:fill="FFFFFF" w:color="auto" w:val="clear"/>
            <w:tcMar>
              <w:top w:type="dxa" w:w="55"/>
              <w:left w:type="dxa" w:w="85"/>
              <w:bottom w:type="dxa" w:w="55"/>
              <w:right w:type="dxa" w:w="85"/>
            </w:tcMar>
          </w:tcPr>
          <w:p>
            <w:pPr>
              <w:spacing w:after="0" w:line="256"/>
            </w:pPr>
            <w:r>
              <w:rPr>
                <w:color w:val="000000"/>
                <w:sz w:val="19"/>
                <w:szCs w:val="19"/>
              </w:rPr>
              <w:t xml:space="preserve">Inicio, planificación, seguimiento y cierre según PMBOK.</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2</w:t>
            </w:r>
          </w:p>
        </w:tc>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Análisis y Diseño</w:t>
            </w:r>
          </w:p>
        </w:tc>
        <w:tc>
          <w:tcPr>
            <w:tcW w:type="dxa" w:w="4860"/>
            <w:shd w:fill="F2F5FB" w:color="auto" w:val="clear"/>
            <w:tcMar>
              <w:top w:type="dxa" w:w="55"/>
              <w:left w:type="dxa" w:w="85"/>
              <w:bottom w:type="dxa" w:w="55"/>
              <w:right w:type="dxa" w:w="85"/>
            </w:tcMar>
          </w:tcPr>
          <w:p>
            <w:pPr>
              <w:spacing w:after="0" w:line="256"/>
            </w:pPr>
            <w:r>
              <w:rPr>
                <w:color w:val="000000"/>
                <w:sz w:val="19"/>
                <w:szCs w:val="19"/>
              </w:rPr>
              <w:t xml:space="preserve">Requerimientos (2.1); arquitectura de la solución HTML/JS + Supabase (2.2); modelo de datos (2.3); diseño Figma mobile-first (2.4).</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3</w:t>
            </w:r>
          </w:p>
        </w:tc>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Módulo Cliente</w:t>
            </w:r>
          </w:p>
        </w:tc>
        <w:tc>
          <w:tcPr>
            <w:tcW w:type="dxa" w:w="4860"/>
            <w:shd w:fill="FFFFFF" w:color="auto" w:val="clear"/>
            <w:tcMar>
              <w:top w:type="dxa" w:w="55"/>
              <w:left w:type="dxa" w:w="85"/>
              <w:bottom w:type="dxa" w:w="55"/>
              <w:right w:type="dxa" w:w="85"/>
            </w:tcMar>
          </w:tcPr>
          <w:p>
            <w:pPr>
              <w:spacing w:after="0" w:line="256"/>
            </w:pPr>
            <w:r>
              <w:rPr>
                <w:color w:val="000000"/>
                <w:sz w:val="19"/>
                <w:szCs w:val="19"/>
              </w:rPr>
              <w:t xml:space="preserve">Autenticación (3.1), catálogo (3.2), carrito/checkout por zona (3.3), pagos MP (3.4), facturación OpenFactura (3.5), pedidos/notificaciones/historial (3.6), fidelización (3.7), contenido y contacto (3.8).</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4</w:t>
            </w:r>
          </w:p>
        </w:tc>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Módulo Administrador</w:t>
            </w:r>
          </w:p>
        </w:tc>
        <w:tc>
          <w:tcPr>
            <w:tcW w:type="dxa" w:w="4860"/>
            <w:shd w:fill="F2F5FB" w:color="auto" w:val="clear"/>
            <w:tcMar>
              <w:top w:type="dxa" w:w="55"/>
              <w:left w:type="dxa" w:w="85"/>
              <w:bottom w:type="dxa" w:w="55"/>
              <w:right w:type="dxa" w:w="85"/>
            </w:tcMar>
          </w:tcPr>
          <w:p>
            <w:pPr>
              <w:spacing w:after="0" w:line="256"/>
            </w:pPr>
            <w:r>
              <w:rPr>
                <w:color w:val="000000"/>
                <w:sz w:val="19"/>
                <w:szCs w:val="19"/>
              </w:rPr>
              <w:t xml:space="preserve">Dashboard (4.1), pedidos (4.2), catálogo/inventario (4.3), clientes/descuentos (4.4), configuración zonas/pagos/CMS (4.5), informes y datos (4.6).</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5</w:t>
            </w:r>
          </w:p>
        </w:tc>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RNF y Seguridad</w:t>
            </w:r>
          </w:p>
        </w:tc>
        <w:tc>
          <w:tcPr>
            <w:tcW w:type="dxa" w:w="4860"/>
            <w:shd w:fill="FFFFFF" w:color="auto" w:val="clear"/>
            <w:tcMar>
              <w:top w:type="dxa" w:w="55"/>
              <w:left w:type="dxa" w:w="85"/>
              <w:bottom w:type="dxa" w:w="55"/>
              <w:right w:type="dxa" w:w="85"/>
            </w:tcMar>
          </w:tcPr>
          <w:p>
            <w:pPr>
              <w:spacing w:after="0" w:line="256"/>
            </w:pPr>
            <w:r>
              <w:rPr>
                <w:color w:val="000000"/>
                <w:sz w:val="19"/>
                <w:szCs w:val="19"/>
              </w:rPr>
              <w:t xml:space="preserve">Seguridad y datos personales (5.1); rendimiento/disponibilidad/escalabilidad (5.2); usabilidad/accesibilidad/SEO/localización (5.3); trazabilidad/respaldo (5.4).</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6</w:t>
            </w:r>
          </w:p>
        </w:tc>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Calidad y Pruebas</w:t>
            </w:r>
          </w:p>
        </w:tc>
        <w:tc>
          <w:tcPr>
            <w:tcW w:type="dxa" w:w="4860"/>
            <w:shd w:fill="F2F5FB" w:color="auto" w:val="clear"/>
            <w:tcMar>
              <w:top w:type="dxa" w:w="55"/>
              <w:left w:type="dxa" w:w="85"/>
              <w:bottom w:type="dxa" w:w="55"/>
              <w:right w:type="dxa" w:w="85"/>
            </w:tcMar>
          </w:tcPr>
          <w:p>
            <w:pPr>
              <w:spacing w:after="0" w:line="256"/>
            </w:pPr>
            <w:r>
              <w:rPr>
                <w:color w:val="000000"/>
                <w:sz w:val="19"/>
                <w:szCs w:val="19"/>
              </w:rPr>
              <w:t xml:space="preserve">Plan de pruebas (6.1); unitarias e integración (6.2); seguridad y rendimiento (6.3); UAT (6.4).</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7</w:t>
            </w:r>
          </w:p>
        </w:tc>
        <w:tc>
          <w:tcPr>
            <w:tcW w:type="dxa" w:w="3200"/>
            <w:shd w:fill="FFFFFF" w:color="auto" w:val="clear"/>
            <w:tcMar>
              <w:top w:type="dxa" w:w="55"/>
              <w:left w:type="dxa" w:w="85"/>
              <w:bottom w:type="dxa" w:w="55"/>
              <w:right w:type="dxa" w:w="85"/>
            </w:tcMar>
          </w:tcPr>
          <w:p>
            <w:pPr>
              <w:spacing w:after="0" w:line="256"/>
            </w:pPr>
            <w:r>
              <w:rPr>
                <w:color w:val="000000"/>
                <w:sz w:val="19"/>
                <w:szCs w:val="19"/>
              </w:rPr>
              <w:t xml:space="preserve">Despliegue y Puesta en Marcha</w:t>
            </w:r>
          </w:p>
        </w:tc>
        <w:tc>
          <w:tcPr>
            <w:tcW w:type="dxa" w:w="4860"/>
            <w:shd w:fill="FFFFFF" w:color="auto" w:val="clear"/>
            <w:tcMar>
              <w:top w:type="dxa" w:w="55"/>
              <w:left w:type="dxa" w:w="85"/>
              <w:bottom w:type="dxa" w:w="55"/>
              <w:right w:type="dxa" w:w="85"/>
            </w:tcMar>
          </w:tcPr>
          <w:p>
            <w:pPr>
              <w:spacing w:after="0" w:line="256"/>
            </w:pPr>
            <w:r>
              <w:rPr>
                <w:color w:val="000000"/>
                <w:sz w:val="19"/>
                <w:szCs w:val="19"/>
              </w:rPr>
              <w:t xml:space="preserve">Contenerización Docker (7.1); migración desde Shopify (7.2); Go-Live (7.3).</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8</w:t>
            </w:r>
          </w:p>
        </w:tc>
        <w:tc>
          <w:tcPr>
            <w:tcW w:type="dxa" w:w="3200"/>
            <w:shd w:fill="F2F5FB" w:color="auto" w:val="clear"/>
            <w:tcMar>
              <w:top w:type="dxa" w:w="55"/>
              <w:left w:type="dxa" w:w="85"/>
              <w:bottom w:type="dxa" w:w="55"/>
              <w:right w:type="dxa" w:w="85"/>
            </w:tcMar>
          </w:tcPr>
          <w:p>
            <w:pPr>
              <w:spacing w:after="0" w:line="256"/>
            </w:pPr>
            <w:r>
              <w:rPr>
                <w:color w:val="000000"/>
                <w:sz w:val="19"/>
                <w:szCs w:val="19"/>
              </w:rPr>
              <w:t xml:space="preserve">Documentación, Capacitación y Cierre</w:t>
            </w:r>
          </w:p>
        </w:tc>
        <w:tc>
          <w:tcPr>
            <w:tcW w:type="dxa" w:w="4860"/>
            <w:shd w:fill="F2F5FB" w:color="auto" w:val="clear"/>
            <w:tcMar>
              <w:top w:type="dxa" w:w="55"/>
              <w:left w:type="dxa" w:w="85"/>
              <w:bottom w:type="dxa" w:w="55"/>
              <w:right w:type="dxa" w:w="85"/>
            </w:tcMar>
          </w:tcPr>
          <w:p>
            <w:pPr>
              <w:spacing w:after="0" w:line="256"/>
            </w:pPr>
            <w:r>
              <w:rPr>
                <w:color w:val="000000"/>
                <w:sz w:val="19"/>
                <w:szCs w:val="19"/>
              </w:rPr>
              <w:t xml:space="preserve">Manual técnico (8.1); manual de usuario y videos (8.2); capacitación (8.3); informe final y defensa (8.4).</w:t>
            </w:r>
          </w:p>
        </w:tc>
      </w:tr>
    </w:tbl>
    <w:p>
      <w:pPr>
        <w:spacing w:after="120" w:line="274"/>
      </w:pPr>
      <w:r>
        <w:rPr>
          <w:i/>
          <w:iCs/>
          <w:color w:val="595959"/>
          <w:sz w:val="19"/>
          <w:szCs w:val="19"/>
        </w:rPr>
        <w:t xml:space="preserve">El desglose de tercer nivel (historias y tareas) se mantiene como anexo vivo en GitHub Projects. La arquitectura del paquete 2.2 se actualizó a HTML/JS + Supabase conforme a la SC-02.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 — Befine Store (v1.1)</dc:title>
  <dc:creator>Plaxi Solutions</dc:creator>
  <cp:lastModifiedBy>Un-named</cp:lastModifiedBy>
  <cp:revision>1</cp:revision>
  <dcterms:created xsi:type="dcterms:W3CDTF">2026-09-23T01:26:25.920Z</dcterms:created>
  <dcterms:modified xsi:type="dcterms:W3CDTF">2026-09-23T01:26:25.928Z</dcterms:modified>
</cp:coreProperties>
</file>

<file path=docProps/custom.xml><?xml version="1.0" encoding="utf-8"?>
<Properties xmlns="http://schemas.openxmlformats.org/officeDocument/2006/custom-properties" xmlns:vt="http://schemas.openxmlformats.org/officeDocument/2006/docPropsVTypes"/>
</file>