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595959"/>
          <w:sz w:val="17"/>
          <w:szCs w:val="17"/>
        </w:rPr>
        <w:t xml:space="preserve">Plaxi Solutions · Plan de Dirección del Proyecto — Befine Store</w:t>
      </w:r>
    </w:p>
    <w:p>
      <w:pPr>
        <w:pBdr>
          <w:bottom w:val="single" w:color="1F3864" w:sz="8"/>
        </w:pBdr>
        <w:spacing w:after="110"/>
      </w:pPr>
      <w:r>
        <w:t xml:space="preserve"/>
      </w:r>
    </w:p>
    <w:p>
      <w:pPr>
        <w:spacing w:after="30"/>
      </w:pPr>
      <w:r>
        <w:rPr>
          <w:b/>
          <w:bCs/>
          <w:color w:val="1F3864"/>
          <w:sz w:val="32"/>
          <w:szCs w:val="32"/>
        </w:rPr>
        <w:t xml:space="preserve">Plan de Gestión del Alcance</w:t>
      </w:r>
    </w:p>
    <w:p>
      <w:pPr>
        <w:spacing w:after="150"/>
      </w:pPr>
      <w:r>
        <w:rPr>
          <w:i/>
          <w:iCs/>
          <w:color w:val="595959"/>
          <w:sz w:val="19"/>
          <w:szCs w:val="19"/>
        </w:rPr>
        <w:t xml:space="preserve">Documento PLAN 01 — Versión 1.2 · 9 de octubre de 2026</w:t>
      </w:r>
    </w:p>
    <w:p>
      <w:pPr>
        <w:pStyle w:val="Heading2"/>
        <w:spacing w:after="80" w:before="190"/>
      </w:pPr>
      <w:r>
        <w:rPr>
          <w:b/>
          <w:bCs/>
          <w:color w:val="2E5496"/>
          <w:sz w:val="22"/>
          <w:szCs w:val="22"/>
        </w:rPr>
        <w:t xml:space="preserve">Información del proyecto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Empresa / Organización</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Proyecto</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Befine Store — Plataforma de comercio electrónico propia para Agua Purificada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Fecha de preparación</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23 de septiembre de 2026</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Cliente</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Agua Purificada Befine (representado por Iván Rodríguez)</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Patrocinador principal</w:t>
            </w:r>
          </w:p>
        </w:tc>
        <w:tc>
          <w:tcPr>
            <w:tcW w:type="dxa" w:w="6160"/>
            <w:shd w:fill="FFFFFF" w:color="auto" w:val="clear"/>
            <w:tcMar>
              <w:top w:type="dxa" w:w="55"/>
              <w:left w:type="dxa" w:w="85"/>
              <w:bottom w:type="dxa" w:w="55"/>
              <w:right w:type="dxa" w:w="85"/>
            </w:tcMar>
          </w:tcPr>
          <w:p>
            <w:pPr>
              <w:spacing w:after="0" w:line="256"/>
            </w:pPr>
            <w:r>
              <w:rPr>
                <w:color w:val="000000"/>
                <w:sz w:val="19"/>
                <w:szCs w:val="19"/>
              </w:rPr>
              <w:t xml:space="preserve">Iván Rodríguez (Dueño y Gerente General de Befine)</w:t>
            </w:r>
          </w:p>
        </w:tc>
      </w:tr>
      <w:tr>
        <w:tc>
          <w:tcPr>
            <w:tcW w:type="dxa" w:w="3200"/>
            <w:shd w:fill="DDE3F0" w:color="auto" w:val="clear"/>
            <w:tcMar>
              <w:top w:type="dxa" w:w="55"/>
              <w:left w:type="dxa" w:w="85"/>
              <w:bottom w:type="dxa" w:w="55"/>
              <w:right w:type="dxa" w:w="85"/>
            </w:tcMar>
          </w:tcPr>
          <w:p>
            <w:pPr>
              <w:spacing w:after="0" w:line="256"/>
            </w:pPr>
            <w:r>
              <w:rPr>
                <w:b/>
                <w:bCs/>
                <w:color w:val="000000"/>
                <w:sz w:val="19"/>
                <w:szCs w:val="19"/>
              </w:rPr>
              <w:t xml:space="preserve">Gerente de proyecto</w:t>
            </w:r>
          </w:p>
        </w:tc>
        <w:tc>
          <w:tcPr>
            <w:tcW w:type="dxa" w:w="6160"/>
            <w:shd w:fill="F2F5FB" w:color="auto" w:val="clear"/>
            <w:tcMar>
              <w:top w:type="dxa" w:w="55"/>
              <w:left w:type="dxa" w:w="85"/>
              <w:bottom w:type="dxa" w:w="55"/>
              <w:right w:type="dxa" w:w="85"/>
            </w:tcMar>
          </w:tcPr>
          <w:p>
            <w:pPr>
              <w:spacing w:after="0" w:line="256"/>
            </w:pPr>
            <w:r>
              <w:rPr>
                <w:color w:val="000000"/>
                <w:sz w:val="19"/>
                <w:szCs w:val="19"/>
              </w:rPr>
              <w:t xml:space="preserve">Grupo N3 — liderazgo rotativo por sprint (Iván Rodríguez, Carlos Fuentes, Felipe Moraga)</w:t>
            </w:r>
          </w:p>
        </w:tc>
      </w:tr>
    </w:tbl>
    <w:p>
      <w:pPr>
        <w:pStyle w:val="Heading2"/>
        <w:spacing w:after="80" w:before="190"/>
      </w:pPr>
      <w:r>
        <w:rPr>
          <w:b/>
          <w:bCs/>
          <w:color w:val="2E5496"/>
          <w:sz w:val="22"/>
          <w:szCs w:val="22"/>
        </w:rPr>
        <w:t xml:space="preserve">Historial de versiones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00"/>
        <w:gridCol w:w="1700"/>
        <w:gridCol w:w="2600"/>
        <w:gridCol w:w="3760"/>
      </w:tblGrid>
      <w:tr>
        <w:trPr>
          <w:tblHeader/>
        </w:trPr>
        <w:tc>
          <w:tcPr>
            <w:tcW w:type="dxa" w:w="1300"/>
            <w:shd w:fill="1F3864" w:color="auto" w:val="clear"/>
            <w:tcMar>
              <w:top w:type="dxa" w:w="55"/>
              <w:left w:type="dxa" w:w="85"/>
              <w:bottom w:type="dxa" w:w="55"/>
              <w:right w:type="dxa" w:w="85"/>
            </w:tcMar>
          </w:tcPr>
          <w:p>
            <w:pPr>
              <w:spacing w:after="0" w:line="256"/>
            </w:pPr>
            <w:r>
              <w:rPr>
                <w:b/>
                <w:bCs/>
                <w:color w:val="FFFFFF"/>
                <w:sz w:val="19"/>
                <w:szCs w:val="19"/>
              </w:rPr>
              <w:t xml:space="preserve">Versión</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Autor</w:t>
            </w:r>
          </w:p>
        </w:tc>
        <w:tc>
          <w:tcPr>
            <w:tcW w:type="dxa" w:w="3760"/>
            <w:shd w:fill="1F3864" w:color="auto" w:val="clear"/>
            <w:tcMar>
              <w:top w:type="dxa" w:w="55"/>
              <w:left w:type="dxa" w:w="85"/>
              <w:bottom w:type="dxa" w:w="55"/>
              <w:right w:type="dxa" w:w="85"/>
            </w:tcMar>
          </w:tcPr>
          <w:p>
            <w:pPr>
              <w:spacing w:after="0" w:line="256"/>
            </w:pPr>
            <w:r>
              <w:rPr>
                <w:b/>
                <w:bCs/>
                <w:color w:val="FFFFFF"/>
                <w:sz w:val="19"/>
                <w:szCs w:val="19"/>
              </w:rPr>
              <w:t xml:space="preserve">Descripción</w:t>
            </w:r>
          </w:p>
        </w:tc>
      </w:tr>
      <w:tr>
        <w:tc>
          <w:tcPr>
            <w:tcW w:type="dxa" w:w="1300"/>
            <w:shd w:fill="FFFFFF" w:color="auto" w:val="clear"/>
            <w:tcMar>
              <w:top w:type="dxa" w:w="55"/>
              <w:left w:type="dxa" w:w="85"/>
              <w:bottom w:type="dxa" w:w="55"/>
              <w:right w:type="dxa" w:w="85"/>
            </w:tcMar>
          </w:tcPr>
          <w:p>
            <w:pPr>
              <w:spacing w:after="0" w:line="256"/>
            </w:pPr>
            <w:r>
              <w:rPr>
                <w:color w:val="000000"/>
                <w:sz w:val="19"/>
                <w:szCs w:val="19"/>
              </w:rPr>
              <w:t xml:space="preserve">1.0</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10 de septiembre de 2026</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760"/>
            <w:shd w:fill="FFFFFF" w:color="auto" w:val="clear"/>
            <w:tcMar>
              <w:top w:type="dxa" w:w="55"/>
              <w:left w:type="dxa" w:w="85"/>
              <w:bottom w:type="dxa" w:w="55"/>
              <w:right w:type="dxa" w:w="85"/>
            </w:tcMar>
          </w:tcPr>
          <w:p>
            <w:pPr>
              <w:spacing w:after="0" w:line="256"/>
            </w:pPr>
            <w:r>
              <w:rPr>
                <w:color w:val="000000"/>
                <w:sz w:val="19"/>
                <w:szCs w:val="19"/>
              </w:rPr>
              <w:t xml:space="preserve">Emisión inicial para revisión del patrocinador</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1.1</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23 de septiembre de 2026</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Actualización por SC-02: tecnología de frontend Flutter → HTML5/CSS3/JavaScript; app móvil nativa fuera de alcance (cobertura móvil vía web responsiva/PWA).</w:t>
            </w:r>
          </w:p>
        </w:tc>
      </w:tr>
      <w:tr>
        <w:tc>
          <w:tcPr>
            <w:tcW w:type="dxa" w:w="1300"/>
            <w:shd w:fill="F2F5FB" w:color="auto" w:val="clear"/>
            <w:tcMar>
              <w:top w:type="dxa" w:w="55"/>
              <w:left w:type="dxa" w:w="85"/>
              <w:bottom w:type="dxa" w:w="55"/>
              <w:right w:type="dxa" w:w="85"/>
            </w:tcMar>
          </w:tcPr>
          <w:p>
            <w:pPr>
              <w:spacing w:after="0" w:line="256"/>
            </w:pPr>
            <w:r>
              <w:rPr>
                <w:color w:val="000000"/>
                <w:sz w:val="19"/>
                <w:szCs w:val="19"/>
              </w:rPr>
              <w:t xml:space="preserve">1.2</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9 de octubre de 2026</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Grupo N3 (Plaxi Solutions)</w:t>
            </w:r>
          </w:p>
        </w:tc>
        <w:tc>
          <w:tcPr>
            <w:tcW w:type="dxa" w:w="3760"/>
            <w:shd w:fill="F2F5FB" w:color="auto" w:val="clear"/>
            <w:tcMar>
              <w:top w:type="dxa" w:w="55"/>
              <w:left w:type="dxa" w:w="85"/>
              <w:bottom w:type="dxa" w:w="55"/>
              <w:right w:type="dxa" w:w="85"/>
            </w:tcMar>
          </w:tcPr>
          <w:p>
            <w:pPr>
              <w:spacing w:after="0" w:line="256"/>
            </w:pPr>
            <w:r>
              <w:rPr>
                <w:color w:val="000000"/>
                <w:sz w:val="19"/>
                <w:szCs w:val="19"/>
              </w:rPr>
              <w:t xml:space="preserve">Actualización por SC-04 (decisión del cliente): Supabase pasa al plan gratuito; se retira el costo de Supabase Pro de la línea base ($508.795 CLP/año) y se redefine RNF-06 sin porcentaje de disponibilidad comprometido.</w:t>
            </w:r>
          </w:p>
        </w:tc>
      </w:tr>
    </w:tbl>
    <w:p>
      <w:pPr>
        <w:pStyle w:val="Heading2"/>
        <w:spacing w:after="80" w:before="190"/>
      </w:pPr>
      <w:r>
        <w:rPr>
          <w:b/>
          <w:bCs/>
          <w:color w:val="2E5496"/>
          <w:sz w:val="22"/>
          <w:szCs w:val="22"/>
        </w:rPr>
        <w:t xml:space="preserve">Aprobaciones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560"/>
        <w:gridCol w:w="2600"/>
        <w:gridCol w:w="1700"/>
        <w:gridCol w:w="1500"/>
      </w:tblGrid>
      <w:tr>
        <w:trPr>
          <w:tblHeader/>
        </w:trPr>
        <w:tc>
          <w:tcPr>
            <w:tcW w:type="dxa" w:w="3560"/>
            <w:shd w:fill="1F3864" w:color="auto" w:val="clear"/>
            <w:tcMar>
              <w:top w:type="dxa" w:w="55"/>
              <w:left w:type="dxa" w:w="85"/>
              <w:bottom w:type="dxa" w:w="55"/>
              <w:right w:type="dxa" w:w="85"/>
            </w:tcMar>
          </w:tcPr>
          <w:p>
            <w:pPr>
              <w:spacing w:after="0" w:line="256"/>
            </w:pPr>
            <w:r>
              <w:rPr>
                <w:b/>
                <w:bCs/>
                <w:color w:val="FFFFFF"/>
                <w:sz w:val="19"/>
                <w:szCs w:val="19"/>
              </w:rPr>
              <w:t xml:space="preserve">Nombre</w:t>
            </w:r>
          </w:p>
        </w:tc>
        <w:tc>
          <w:tcPr>
            <w:tcW w:type="dxa" w:w="2600"/>
            <w:shd w:fill="1F3864" w:color="auto" w:val="clear"/>
            <w:tcMar>
              <w:top w:type="dxa" w:w="55"/>
              <w:left w:type="dxa" w:w="85"/>
              <w:bottom w:type="dxa" w:w="55"/>
              <w:right w:type="dxa" w:w="85"/>
            </w:tcMar>
          </w:tcPr>
          <w:p>
            <w:pPr>
              <w:spacing w:after="0" w:line="256"/>
            </w:pPr>
            <w:r>
              <w:rPr>
                <w:b/>
                <w:bCs/>
                <w:color w:val="FFFFFF"/>
                <w:sz w:val="19"/>
                <w:szCs w:val="19"/>
              </w:rPr>
              <w:t xml:space="preserve">Rol / Cargo</w:t>
            </w:r>
          </w:p>
        </w:tc>
        <w:tc>
          <w:tcPr>
            <w:tcW w:type="dxa" w:w="1700"/>
            <w:shd w:fill="1F3864" w:color="auto" w:val="clear"/>
            <w:tcMar>
              <w:top w:type="dxa" w:w="55"/>
              <w:left w:type="dxa" w:w="85"/>
              <w:bottom w:type="dxa" w:w="55"/>
              <w:right w:type="dxa" w:w="85"/>
            </w:tcMar>
          </w:tcPr>
          <w:p>
            <w:pPr>
              <w:spacing w:after="0" w:line="256"/>
            </w:pPr>
            <w:r>
              <w:rPr>
                <w:b/>
                <w:bCs/>
                <w:color w:val="FFFFFF"/>
                <w:sz w:val="19"/>
                <w:szCs w:val="19"/>
              </w:rPr>
              <w:t xml:space="preserve">Firma</w:t>
            </w:r>
          </w:p>
        </w:tc>
        <w:tc>
          <w:tcPr>
            <w:tcW w:type="dxa" w:w="1500"/>
            <w:shd w:fill="1F3864" w:color="auto" w:val="clear"/>
            <w:tcMar>
              <w:top w:type="dxa" w:w="55"/>
              <w:left w:type="dxa" w:w="85"/>
              <w:bottom w:type="dxa" w:w="55"/>
              <w:right w:type="dxa" w:w="85"/>
            </w:tcMar>
          </w:tcPr>
          <w:p>
            <w:pPr>
              <w:spacing w:after="0" w:line="256"/>
            </w:pPr>
            <w:r>
              <w:rPr>
                <w:b/>
                <w:bCs/>
                <w:color w:val="FFFFFF"/>
                <w:sz w:val="19"/>
                <w:szCs w:val="19"/>
              </w:rPr>
              <w:t xml:space="preserve">Fecha</w:t>
            </w:r>
          </w:p>
        </w:tc>
      </w:tr>
      <w:tr>
        <w:tc>
          <w:tcPr>
            <w:tcW w:type="dxa" w:w="3560"/>
            <w:shd w:fill="FFFFFF" w:color="auto" w:val="clear"/>
            <w:tcMar>
              <w:top w:type="dxa" w:w="55"/>
              <w:left w:type="dxa" w:w="85"/>
              <w:bottom w:type="dxa" w:w="55"/>
              <w:right w:type="dxa" w:w="85"/>
            </w:tcMar>
          </w:tcPr>
          <w:p>
            <w:pPr>
              <w:spacing w:after="0" w:line="256"/>
            </w:pPr>
            <w:r>
              <w:rPr>
                <w:color w:val="000000"/>
                <w:sz w:val="19"/>
                <w:szCs w:val="19"/>
              </w:rPr>
              <w:t xml:space="preserve">Iván Rodríguez</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Patrocinador (Dueño de Befine)</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__/__/2026</w:t>
            </w:r>
          </w:p>
        </w:tc>
      </w:tr>
      <w:tr>
        <w:tc>
          <w:tcPr>
            <w:tcW w:type="dxa" w:w="3560"/>
            <w:shd w:fill="F2F5FB" w:color="auto" w:val="clear"/>
            <w:tcMar>
              <w:top w:type="dxa" w:w="55"/>
              <w:left w:type="dxa" w:w="85"/>
              <w:bottom w:type="dxa" w:w="55"/>
              <w:right w:type="dxa" w:w="85"/>
            </w:tcMar>
          </w:tcPr>
          <w:p>
            <w:pPr>
              <w:spacing w:after="0" w:line="256"/>
            </w:pPr>
            <w:r>
              <w:rPr>
                <w:color w:val="000000"/>
                <w:sz w:val="19"/>
                <w:szCs w:val="19"/>
              </w:rPr>
              <w:t xml:space="preserve">Carlos Fuentes</w:t>
            </w:r>
          </w:p>
        </w:tc>
        <w:tc>
          <w:tcPr>
            <w:tcW w:type="dxa" w:w="2600"/>
            <w:shd w:fill="F2F5FB" w:color="auto" w:val="clear"/>
            <w:tcMar>
              <w:top w:type="dxa" w:w="55"/>
              <w:left w:type="dxa" w:w="85"/>
              <w:bottom w:type="dxa" w:w="55"/>
              <w:right w:type="dxa" w:w="85"/>
            </w:tcMar>
          </w:tcPr>
          <w:p>
            <w:pPr>
              <w:spacing w:after="0" w:line="256"/>
            </w:pPr>
            <w:r>
              <w:rPr>
                <w:color w:val="000000"/>
                <w:sz w:val="19"/>
                <w:szCs w:val="19"/>
              </w:rPr>
              <w:t xml:space="preserve">Equipo del proyecto (líder rotativo)</w:t>
            </w:r>
          </w:p>
        </w:tc>
        <w:tc>
          <w:tcPr>
            <w:tcW w:type="dxa" w:w="1700"/>
            <w:shd w:fill="F2F5FB"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2F5FB" w:color="auto" w:val="clear"/>
            <w:tcMar>
              <w:top w:type="dxa" w:w="55"/>
              <w:left w:type="dxa" w:w="85"/>
              <w:bottom w:type="dxa" w:w="55"/>
              <w:right w:type="dxa" w:w="85"/>
            </w:tcMar>
          </w:tcPr>
          <w:p>
            <w:pPr>
              <w:spacing w:after="0" w:line="256"/>
            </w:pPr>
            <w:r>
              <w:rPr>
                <w:color w:val="000000"/>
                <w:sz w:val="19"/>
                <w:szCs w:val="19"/>
              </w:rPr>
              <w:t xml:space="preserve">__/__/2026</w:t>
            </w:r>
          </w:p>
        </w:tc>
      </w:tr>
      <w:tr>
        <w:tc>
          <w:tcPr>
            <w:tcW w:type="dxa" w:w="3560"/>
            <w:shd w:fill="FFFFFF" w:color="auto" w:val="clear"/>
            <w:tcMar>
              <w:top w:type="dxa" w:w="55"/>
              <w:left w:type="dxa" w:w="85"/>
              <w:bottom w:type="dxa" w:w="55"/>
              <w:right w:type="dxa" w:w="85"/>
            </w:tcMar>
          </w:tcPr>
          <w:p>
            <w:pPr>
              <w:spacing w:after="0" w:line="256"/>
            </w:pPr>
            <w:r>
              <w:rPr>
                <w:color w:val="000000"/>
                <w:sz w:val="19"/>
                <w:szCs w:val="19"/>
              </w:rPr>
              <w:t xml:space="preserve">Felipe Moraga</w:t>
            </w:r>
          </w:p>
        </w:tc>
        <w:tc>
          <w:tcPr>
            <w:tcW w:type="dxa" w:w="2600"/>
            <w:shd w:fill="FFFFFF" w:color="auto" w:val="clear"/>
            <w:tcMar>
              <w:top w:type="dxa" w:w="55"/>
              <w:left w:type="dxa" w:w="85"/>
              <w:bottom w:type="dxa" w:w="55"/>
              <w:right w:type="dxa" w:w="85"/>
            </w:tcMar>
          </w:tcPr>
          <w:p>
            <w:pPr>
              <w:spacing w:after="0" w:line="256"/>
            </w:pPr>
            <w:r>
              <w:rPr>
                <w:color w:val="000000"/>
                <w:sz w:val="19"/>
                <w:szCs w:val="19"/>
              </w:rPr>
              <w:t xml:space="preserve">Equipo del proyecto (líder rotativo)</w:t>
            </w:r>
          </w:p>
        </w:tc>
        <w:tc>
          <w:tcPr>
            <w:tcW w:type="dxa" w:w="1700"/>
            <w:shd w:fill="FFFFFF" w:color="auto" w:val="clear"/>
            <w:tcMar>
              <w:top w:type="dxa" w:w="55"/>
              <w:left w:type="dxa" w:w="85"/>
              <w:bottom w:type="dxa" w:w="55"/>
              <w:right w:type="dxa" w:w="85"/>
            </w:tcMar>
          </w:tcPr>
          <w:p>
            <w:pPr>
              <w:spacing w:after="0" w:line="256"/>
            </w:pPr>
            <w:r>
              <w:rPr>
                <w:color w:val="000000"/>
                <w:sz w:val="19"/>
                <w:szCs w:val="19"/>
              </w:rPr>
              <w:t xml:space="preserve">____________</w:t>
            </w:r>
          </w:p>
        </w:tc>
        <w:tc>
          <w:tcPr>
            <w:tcW w:type="dxa" w:w="1500"/>
            <w:shd w:fill="FFFFFF" w:color="auto" w:val="clear"/>
            <w:tcMar>
              <w:top w:type="dxa" w:w="55"/>
              <w:left w:type="dxa" w:w="85"/>
              <w:bottom w:type="dxa" w:w="55"/>
              <w:right w:type="dxa" w:w="85"/>
            </w:tcMar>
          </w:tcPr>
          <w:p>
            <w:pPr>
              <w:spacing w:after="0" w:line="256"/>
            </w:pPr>
            <w:r>
              <w:rPr>
                <w:color w:val="000000"/>
                <w:sz w:val="19"/>
                <w:szCs w:val="19"/>
              </w:rPr>
              <w:t xml:space="preserve">__/__/2026</w:t>
            </w:r>
          </w:p>
        </w:tc>
      </w:tr>
    </w:tbl>
    <w:p>
      <w:pPr>
        <w:pStyle w:val="Heading1"/>
        <w:spacing w:after="100" w:before="250"/>
      </w:pPr>
      <w:r>
        <w:rPr>
          <w:b/>
          <w:bCs/>
          <w:color w:val="1F3864"/>
          <w:sz w:val="25"/>
          <w:szCs w:val="25"/>
        </w:rPr>
        <w:t xml:space="preserve">Plan de Gestión del Alcance</w:t>
      </w:r>
    </w:p>
    <w:p>
      <w:pPr>
        <w:pStyle w:val="Heading2"/>
        <w:spacing w:after="80" w:before="190"/>
      </w:pPr>
      <w:r>
        <w:rPr>
          <w:b/>
          <w:bCs/>
          <w:color w:val="2E5496"/>
          <w:sz w:val="22"/>
          <w:szCs w:val="22"/>
        </w:rPr>
        <w:t xml:space="preserve">1. Propósito del plan</w:t>
      </w:r>
    </w:p>
    <w:p>
      <w:pPr>
        <w:spacing w:after="120" w:line="274"/>
      </w:pPr>
      <w:r>
        <w:rPr>
          <w:sz w:val="21"/>
          <w:szCs w:val="21"/>
        </w:rPr>
        <w:t xml:space="preserve">Este plan documenta cómo se definirá, desarrollará, monitoreará, validará y controlará el alcance del proyecto Befine Store. La gestión del alcance se enfoca en definir y controlar qué se incluye y qué no se incluye en el proyecto, asegurando que se ejecuten todas las labores requeridas —y solo esas— para completar el trabajo satisfactoriamente dentro de las 18 semanas del semestre 2026-2.</w:t>
      </w:r>
    </w:p>
    <w:p>
      <w:pPr>
        <w:pStyle w:val="Heading2"/>
        <w:spacing w:after="80" w:before="190"/>
      </w:pPr>
      <w:r>
        <w:rPr>
          <w:b/>
          <w:bCs/>
          <w:color w:val="2E5496"/>
          <w:sz w:val="22"/>
          <w:szCs w:val="22"/>
        </w:rPr>
        <w:t xml:space="preserve">2. Definición del alcance del proyecto y del producto</w:t>
      </w:r>
    </w:p>
    <w:p>
      <w:pPr>
        <w:spacing w:after="120" w:line="274"/>
      </w:pPr>
      <w:r>
        <w:rPr>
          <w:b/>
          <w:bCs/>
          <w:sz w:val="21"/>
          <w:szCs w:val="21"/>
        </w:rPr>
        <w:t xml:space="preserve">Alcance del producto: </w:t>
      </w:r>
      <w:r>
        <w:rPr>
          <w:sz w:val="21"/>
          <w:szCs w:val="21"/>
        </w:rPr>
        <w:t xml:space="preserve">características y funciones de la plataforma Befine Store — una tienda de comercio electrónico propia construida con HTML5, CSS3 y JavaScript (web mobile-first / PWA) con backend Supabase (PostgreSQL), que reemplaza a Shopify e integra landing page, panel de administración, fidelización por puntos, pago con Mercado Pago y facturación electrónica con OpenFactura. </w:t>
      </w:r>
      <w:r>
        <w:rPr>
          <w:i/>
          <w:iCs/>
          <w:color w:val="595959"/>
          <w:sz w:val="19"/>
          <w:szCs w:val="19"/>
        </w:rPr>
        <w:t xml:space="preserve">(Actualizado conforme a la SC-02: frontend HTML/CSS/JS.)</w:t>
      </w:r>
    </w:p>
    <w:p>
      <w:pPr>
        <w:spacing w:after="120" w:line="274"/>
      </w:pPr>
      <w:r>
        <w:rPr>
          <w:b/>
          <w:bCs/>
          <w:sz w:val="21"/>
          <w:szCs w:val="21"/>
        </w:rPr>
        <w:t xml:space="preserve">Alcance del proyecto: </w:t>
      </w:r>
      <w:r>
        <w:rPr>
          <w:sz w:val="21"/>
          <w:szCs w:val="21"/>
        </w:rPr>
        <w:t xml:space="preserve">todo el trabajo necesario para entregar dicho producto — análisis, diseño, desarrollo por sprints, integración, pruebas, migración de datos desde Shopify, despliegue (Docker), documentación, capacitación y cierre. El alcance del proyecto incluye el alcance del producto.</w:t>
      </w:r>
    </w:p>
    <w:p>
      <w:pPr>
        <w:pStyle w:val="Heading2"/>
        <w:spacing w:after="80" w:before="190"/>
      </w:pPr>
      <w:r>
        <w:rPr>
          <w:b/>
          <w:bCs/>
          <w:color w:val="2E5496"/>
          <w:sz w:val="22"/>
          <w:szCs w:val="22"/>
        </w:rPr>
        <w:t xml:space="preserve">3. Enunciado del alcance — Entregables incluidos (MVP)</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Entregable</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Descripción / requerimientos</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Landing page (Módulo Cliente)</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Registro y login, catálogo con variantes, ficha de producto, carrito, checkout con despacho por zona, pago Mercado Pago, facturación electrónica, notificaciones, historial de pedidos, fidelización por puntos, contenido institucional, contacto y suscripción (RF-01 a RF-14).</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Panel de administración (Módulo Administrador)</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Dashboard con métricas, gestión de pedidos, catálogo e inventario, clientes y segmentos, descuentos, configuración de zonas/pagos/CMS, informes y reportes, importación/exportación CSV (RF-15 a RF-25).</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Fidelización</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Sistema de puntos por compra y descuentos por metas (RF-11) — funcionalidad nueva, no existente en Shopify.</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Integración de pagos</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Mercado Pago en checkout, sin almacenar datos de tarjeta (RF-07, RNF-04).</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Facturación electrónica</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Emisión automática de boleta/factura vía API OpenFactura (Haulmer), validada en ambiente de certificación SII (RF-08).</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Atributos no funcionales</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Mobile-first, seguridad (RLS, HTTPS), Ley 21.719, rendimiento (≥100 pedidos/hora, ≤5 s), disponibilidad en horario de operación, escalabilidad a 500 usuarios, PWA, WCAG 2.1 AA, es-CL/CLP (RNF-01 a RNF-14).</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Migración y despliegue</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Migración de catálogo/clientes/pedidos desde Shopify; despliegue contenerizado con Docker.</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Documentación y capacitación</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Manual técnico, manual de usuario (videos cortos si el tiempo lo permite) y capacitación al negocio.</w:t>
            </w:r>
          </w:p>
        </w:tc>
      </w:tr>
    </w:tbl>
    <w:p>
      <w:pPr>
        <w:pStyle w:val="Heading2"/>
        <w:spacing w:after="80" w:before="190"/>
      </w:pPr>
      <w:r>
        <w:rPr>
          <w:b/>
          <w:bCs/>
          <w:color w:val="2E5496"/>
          <w:sz w:val="22"/>
          <w:szCs w:val="22"/>
        </w:rPr>
        <w:t xml:space="preserve">4. Exclusiones (fuera de alcance)</w:t>
      </w:r>
    </w:p>
    <w:p>
      <w:pPr>
        <w:pStyle w:val="ListParagraph"/>
        <w:numPr>
          <w:ilvl w:val="0"/>
          <w:numId w:val="1"/>
        </w:numPr>
        <w:spacing w:after="60" w:line="270"/>
      </w:pPr>
      <w:r>
        <w:rPr>
          <w:b/>
          <w:bCs/>
          <w:sz w:val="21"/>
          <w:szCs w:val="21"/>
        </w:rPr>
        <w:t xml:space="preserve">Aplicación móvil nativa dedicada: </w:t>
      </w:r>
      <w:r>
        <w:rPr>
          <w:sz w:val="21"/>
          <w:szCs w:val="21"/>
        </w:rPr>
        <w:t xml:space="preserve">queda fuera del alcance de este proyecto de título. La cobertura móvil se entrega mediante la web responsiva / PWA. Una eventual app nativa se evaluaría a futuro como proyecto aparte. </w:t>
      </w:r>
      <w:r>
        <w:rPr>
          <w:i/>
          <w:iCs/>
          <w:color w:val="595959"/>
          <w:sz w:val="19"/>
          <w:szCs w:val="19"/>
        </w:rPr>
        <w:t xml:space="preserve">(Ajustado por SC-02.)</w:t>
      </w:r>
    </w:p>
    <w:p>
      <w:pPr>
        <w:pStyle w:val="ListParagraph"/>
        <w:numPr>
          <w:ilvl w:val="0"/>
          <w:numId w:val="1"/>
        </w:numPr>
        <w:spacing w:after="60" w:line="270"/>
      </w:pPr>
      <w:r>
        <w:rPr>
          <w:sz w:val="21"/>
          <w:szCs w:val="21"/>
        </w:rPr>
        <w:t xml:space="preserve">Soporte multi-tienda o multi-negocio; internacionalización, multi-idioma o multi-moneda (el sistema opera en es-CL / CLP, RNF-14).</w:t>
      </w:r>
    </w:p>
    <w:p>
      <w:pPr>
        <w:pStyle w:val="ListParagraph"/>
        <w:numPr>
          <w:ilvl w:val="0"/>
          <w:numId w:val="1"/>
        </w:numPr>
        <w:spacing w:after="60" w:line="270"/>
      </w:pPr>
      <w:r>
        <w:rPr>
          <w:sz w:val="21"/>
          <w:szCs w:val="21"/>
        </w:rPr>
        <w:t xml:space="preserve">Medios de pago distintos de Mercado Pago como desarrollo obligatorio (transferencia u otros quedan como configuración opcional, RF-22).</w:t>
      </w:r>
    </w:p>
    <w:p>
      <w:pPr>
        <w:pStyle w:val="ListParagraph"/>
        <w:numPr>
          <w:ilvl w:val="0"/>
          <w:numId w:val="1"/>
        </w:numPr>
        <w:spacing w:after="60" w:line="270"/>
      </w:pPr>
      <w:r>
        <w:rPr>
          <w:sz w:val="21"/>
          <w:szCs w:val="21"/>
        </w:rPr>
        <w:t xml:space="preserve">Funcionalidades nuevas solicitadas durante la ejecución que no estén en el backlog priorizado del MVP: se gestionan como Solicitud de Cambio.</w:t>
      </w:r>
    </w:p>
    <w:p>
      <w:pPr>
        <w:pStyle w:val="Heading2"/>
        <w:spacing w:after="80" w:before="190"/>
      </w:pPr>
      <w:r>
        <w:rPr>
          <w:b/>
          <w:bCs/>
          <w:color w:val="2E5496"/>
          <w:sz w:val="22"/>
          <w:szCs w:val="22"/>
        </w:rPr>
        <w:t xml:space="preserve">5. Criterios de aceptación</w:t>
      </w:r>
    </w:p>
    <w:p>
      <w:pPr>
        <w:pStyle w:val="ListParagraph"/>
        <w:numPr>
          <w:ilvl w:val="0"/>
          <w:numId w:val="1"/>
        </w:numPr>
        <w:spacing w:after="60" w:line="270"/>
      </w:pPr>
      <w:r>
        <w:rPr>
          <w:sz w:val="21"/>
          <w:szCs w:val="21"/>
        </w:rPr>
        <w:t xml:space="preserve">Cada historia de usuario cumple sus criterios de aceptación (incluidas las cotas de rendimiento de cada RF) antes de marcarse “Terminada” en la Sprint Review.</w:t>
      </w:r>
    </w:p>
    <w:p>
      <w:pPr>
        <w:pStyle w:val="ListParagraph"/>
        <w:numPr>
          <w:ilvl w:val="0"/>
          <w:numId w:val="1"/>
        </w:numPr>
        <w:spacing w:after="60" w:line="270"/>
      </w:pPr>
      <w:r>
        <w:rPr>
          <w:sz w:val="21"/>
          <w:szCs w:val="21"/>
        </w:rPr>
        <w:t xml:space="preserve">El MVP se acepta cuando landing y panel están desplegados y operativos, el pago con Mercado Pago funciona en producción, la emisión vía OpenFactura está validada, y el 100% de los casos de prueba críticos (pagos, facturación, pedidos) fueron ejecutados y aprobados antes del Go-Live.</w:t>
      </w:r>
    </w:p>
    <w:p>
      <w:pPr>
        <w:pStyle w:val="ListParagraph"/>
        <w:numPr>
          <w:ilvl w:val="0"/>
          <w:numId w:val="1"/>
        </w:numPr>
        <w:spacing w:after="60" w:line="270"/>
      </w:pPr>
      <w:r>
        <w:rPr>
          <w:sz w:val="21"/>
          <w:szCs w:val="21"/>
        </w:rPr>
        <w:t xml:space="preserve">Aceptación formal final tras la reunión de cierre y la presentación ante la comisión evaluadora (12-dic-2026).</w:t>
      </w:r>
    </w:p>
    <w:p>
      <w:pPr>
        <w:pStyle w:val="Heading2"/>
        <w:spacing w:after="80" w:before="190"/>
      </w:pPr>
      <w:r>
        <w:rPr>
          <w:b/>
          <w:bCs/>
          <w:color w:val="2E5496"/>
          <w:sz w:val="22"/>
          <w:szCs w:val="22"/>
        </w:rPr>
        <w:t xml:space="preserve">6. Estructura de Desglose del Trabajo (EDT)</w:t>
      </w:r>
    </w:p>
    <w:p>
      <w:pPr>
        <w:spacing w:after="120" w:line="274"/>
      </w:pPr>
      <w:r>
        <w:rPr>
          <w:sz w:val="21"/>
          <w:szCs w:val="21"/>
        </w:rPr>
        <w:t xml:space="preserve">El alcance se descompone en 8 componentes de primer nivel (Gestión del Proyecto; Análisis y Diseño; Módulo Cliente; Módulo Administrador; Requisitos No Funcionales y Seguridad; Calidad y Pruebas; Despliegue y Puesta en Marcha; Documentación, Capacitación y Cierre). La EDT completa y su Diccionario se entregan en el Anexo A — Estructura de Desglose del Trabajo (EDT) y Diccionario, que forma parte de la línea base del alcance.</w:t>
      </w:r>
    </w:p>
    <w:p>
      <w:pPr>
        <w:pStyle w:val="Heading2"/>
        <w:spacing w:after="80" w:before="190"/>
      </w:pPr>
      <w:r>
        <w:rPr>
          <w:b/>
          <w:bCs/>
          <w:color w:val="2E5496"/>
          <w:sz w:val="22"/>
          <w:szCs w:val="22"/>
        </w:rPr>
        <w:t xml:space="preserve">7. Validación y control del alcance</w:t>
      </w:r>
    </w:p>
    <w:p>
      <w:pPr>
        <w:spacing w:after="120" w:line="274"/>
      </w:pPr>
      <w:r>
        <w:rPr>
          <w:sz w:val="21"/>
          <w:szCs w:val="21"/>
        </w:rPr>
        <w:t xml:space="preserve">Validación incremental en cada Sprint Review (cada 2 semanas) con el patrocinador, y validación final en el Go-Live (21-nov-2026) y la entrega final (12-dic-2026). El patrocinador (Iván Rodríguez) es la autoridad de aceptación formal del alcance; el docente guía evalúa el cumplimiento académico.</w:t>
      </w:r>
    </w:p>
    <w:p>
      <w:pPr>
        <w:spacing w:after="120" w:line="274"/>
      </w:pPr>
      <w:r>
        <w:rPr>
          <w:b/>
          <w:bCs/>
          <w:sz w:val="21"/>
          <w:szCs w:val="21"/>
        </w:rPr>
        <w:t xml:space="preserve">Prevención de scope creep: </w:t>
      </w:r>
      <w:r>
        <w:rPr>
          <w:sz w:val="21"/>
          <w:szCs w:val="21"/>
        </w:rPr>
        <w:t xml:space="preserve">el alcance del MVP se congela al cierre de la Planificación (semana 6) y queda documentado en este plan, en la EDT y en el backlog de GitHub Projects. Toda ampliación se canaliza como Solicitud de Cambio e indica explícitamente qué elemento del backlog se retira o posterga, dado que el plazo de 18 semanas es fijo y no extensible.</w:t>
      </w:r>
    </w:p>
    <w:p>
      <w:pPr>
        <w:pStyle w:val="Heading2"/>
        <w:spacing w:after="80" w:before="190"/>
      </w:pPr>
      <w:r>
        <w:rPr>
          <w:b/>
          <w:bCs/>
          <w:color w:val="2E5496"/>
          <w:sz w:val="22"/>
          <w:szCs w:val="22"/>
        </w:rPr>
        <w:t xml:space="preserve">8. Roles y responsabilidades sobre el alcance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1F3864" w:color="auto" w:val="clear"/>
            <w:tcMar>
              <w:top w:type="dxa" w:w="55"/>
              <w:left w:type="dxa" w:w="85"/>
              <w:bottom w:type="dxa" w:w="55"/>
              <w:right w:type="dxa" w:w="85"/>
            </w:tcMar>
          </w:tcPr>
          <w:p>
            <w:pPr>
              <w:spacing w:after="0" w:line="256"/>
            </w:pPr>
            <w:r>
              <w:rPr>
                <w:b/>
                <w:bCs/>
                <w:color w:val="FFFFFF"/>
                <w:sz w:val="19"/>
                <w:szCs w:val="19"/>
              </w:rPr>
              <w:t xml:space="preserve">Rol</w:t>
            </w:r>
          </w:p>
        </w:tc>
        <w:tc>
          <w:tcPr>
            <w:tcW w:type="dxa" w:w="6360"/>
            <w:shd w:fill="1F3864" w:color="auto" w:val="clear"/>
            <w:tcMar>
              <w:top w:type="dxa" w:w="55"/>
              <w:left w:type="dxa" w:w="85"/>
              <w:bottom w:type="dxa" w:w="55"/>
              <w:right w:type="dxa" w:w="85"/>
            </w:tcMar>
          </w:tcPr>
          <w:p>
            <w:pPr>
              <w:spacing w:after="0" w:line="256"/>
            </w:pPr>
            <w:r>
              <w:rPr>
                <w:b/>
                <w:bCs/>
                <w:color w:val="FFFFFF"/>
                <w:sz w:val="19"/>
                <w:szCs w:val="19"/>
              </w:rPr>
              <w:t xml:space="preserve">Responsabilidad</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Patrocinador (Iván Rodríguez)</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Aprueba el enunciado de alcance y la EDT; valida entregables; autoriza cambios de alcance.</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Líder de sprint vigente</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Mantiene la EDT y el backlog; verifica que lo ejecutado corresponda al alcance aprobado.</w:t>
            </w:r>
          </w:p>
        </w:tc>
      </w:tr>
      <w:tr>
        <w:tc>
          <w:tcPr>
            <w:tcW w:type="dxa" w:w="3000"/>
            <w:shd w:fill="FFFFFF" w:color="auto" w:val="clear"/>
            <w:tcMar>
              <w:top w:type="dxa" w:w="55"/>
              <w:left w:type="dxa" w:w="85"/>
              <w:bottom w:type="dxa" w:w="55"/>
              <w:right w:type="dxa" w:w="85"/>
            </w:tcMar>
          </w:tcPr>
          <w:p>
            <w:pPr>
              <w:spacing w:after="0" w:line="256"/>
            </w:pPr>
            <w:r>
              <w:rPr>
                <w:color w:val="000000"/>
                <w:sz w:val="19"/>
                <w:szCs w:val="19"/>
              </w:rPr>
              <w:t xml:space="preserve">Equipo Grupo N3</w:t>
            </w:r>
          </w:p>
        </w:tc>
        <w:tc>
          <w:tcPr>
            <w:tcW w:type="dxa" w:w="6360"/>
            <w:shd w:fill="FFFFFF" w:color="auto" w:val="clear"/>
            <w:tcMar>
              <w:top w:type="dxa" w:w="55"/>
              <w:left w:type="dxa" w:w="85"/>
              <w:bottom w:type="dxa" w:w="55"/>
              <w:right w:type="dxa" w:w="85"/>
            </w:tcMar>
          </w:tcPr>
          <w:p>
            <w:pPr>
              <w:spacing w:after="0" w:line="256"/>
            </w:pPr>
            <w:r>
              <w:rPr>
                <w:color w:val="000000"/>
                <w:sz w:val="19"/>
                <w:szCs w:val="19"/>
              </w:rPr>
              <w:t xml:space="preserve">Ejecuta las historias del backlog; reporta desviaciones de alcance.</w:t>
            </w:r>
          </w:p>
        </w:tc>
      </w:tr>
      <w:tr>
        <w:tc>
          <w:tcPr>
            <w:tcW w:type="dxa" w:w="3000"/>
            <w:shd w:fill="F2F5FB" w:color="auto" w:val="clear"/>
            <w:tcMar>
              <w:top w:type="dxa" w:w="55"/>
              <w:left w:type="dxa" w:w="85"/>
              <w:bottom w:type="dxa" w:w="55"/>
              <w:right w:type="dxa" w:w="85"/>
            </w:tcMar>
          </w:tcPr>
          <w:p>
            <w:pPr>
              <w:spacing w:after="0" w:line="256"/>
            </w:pPr>
            <w:r>
              <w:rPr>
                <w:color w:val="000000"/>
                <w:sz w:val="19"/>
                <w:szCs w:val="19"/>
              </w:rPr>
              <w:t xml:space="preserve">Docente guía (Duoc UC)</w:t>
            </w:r>
          </w:p>
        </w:tc>
        <w:tc>
          <w:tcPr>
            <w:tcW w:type="dxa" w:w="6360"/>
            <w:shd w:fill="F2F5FB" w:color="auto" w:val="clear"/>
            <w:tcMar>
              <w:top w:type="dxa" w:w="55"/>
              <w:left w:type="dxa" w:w="85"/>
              <w:bottom w:type="dxa" w:w="55"/>
              <w:right w:type="dxa" w:w="85"/>
            </w:tcMar>
          </w:tcPr>
          <w:p>
            <w:pPr>
              <w:spacing w:after="0" w:line="256"/>
            </w:pPr>
            <w:r>
              <w:rPr>
                <w:color w:val="000000"/>
                <w:sz w:val="19"/>
                <w:szCs w:val="19"/>
              </w:rPr>
              <w:t xml:space="preserve">Evalúa el cumplimiento del alcance académico comprometido.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del Alcance</dc:title>
  <dc:creator>Plaxi Solutions</dc:creator>
  <cp:lastModifiedBy>Un-named</cp:lastModifiedBy>
  <cp:revision>1</cp:revision>
  <dcterms:created xsi:type="dcterms:W3CDTF">2026-09-23T01:15:45.131Z</dcterms:created>
  <dcterms:modified xsi:type="dcterms:W3CDTF">2026-09-23T01:15:45.138Z</dcterms:modified>
</cp:coreProperties>
</file>

<file path=docProps/custom.xml><?xml version="1.0" encoding="utf-8"?>
<Properties xmlns="http://schemas.openxmlformats.org/officeDocument/2006/custom-properties" xmlns:vt="http://schemas.openxmlformats.org/officeDocument/2006/docPropsVTypes"/>
</file>