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595959"/>
          <w:sz w:val="17"/>
          <w:szCs w:val="17"/>
        </w:rPr>
        <w:t xml:space="preserve">Plaxi Solutions · Plan de Dirección del Proyecto — Befine Store</w:t>
      </w:r>
    </w:p>
    <w:p>
      <w:pPr>
        <w:pBdr>
          <w:bottom w:val="single" w:color="1F3864" w:sz="8"/>
        </w:pBdr>
        <w:spacing w:after="110"/>
      </w:pPr>
      <w:r>
        <w:t xml:space="preserve"/>
      </w:r>
    </w:p>
    <w:p>
      <w:pPr>
        <w:spacing w:after="30"/>
      </w:pPr>
      <w:r>
        <w:rPr>
          <w:b/>
          <w:bCs/>
          <w:color w:val="1F3864"/>
          <w:sz w:val="32"/>
          <w:szCs w:val="32"/>
        </w:rPr>
        <w:t xml:space="preserve">Plan de Gestión de la Calidad</w:t>
      </w:r>
    </w:p>
    <w:p>
      <w:pPr>
        <w:spacing w:after="150"/>
      </w:pPr>
      <w:r>
        <w:rPr>
          <w:i/>
          <w:iCs/>
          <w:color w:val="595959"/>
          <w:sz w:val="19"/>
          <w:szCs w:val="19"/>
        </w:rPr>
        <w:t xml:space="preserve">Documento PLAN 05 — Versión 1.2 · 9 de octubre de 2026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Información del proyecto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200"/>
        <w:gridCol w:w="6160"/>
      </w:tblGrid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Empresa / Organización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Agua Purificada Befine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Proyecto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Befine Store — Plataforma de comercio electrónico propia para Agua Purificada Befine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Fecha de preparación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23 de septiembre de 2026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Cliente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Agua Purificada Befine (representado por Iván Rodríguez)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Patrocinador principal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 Rodríguez (Dueño y Gerente General de Befine)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Gerente de proyecto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— liderazgo rotativo por sprint (Iván Rodríguez, Carlos Fuentes, Felipe Moraga)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Historial de versiones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300"/>
        <w:gridCol w:w="1700"/>
        <w:gridCol w:w="2600"/>
        <w:gridCol w:w="376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37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10 de septiembre de 2026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(Plaxi Solutions)</w:t>
            </w:r>
          </w:p>
        </w:tc>
        <w:tc>
          <w:tcPr>
            <w:tcW w:type="dxa" w:w="3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Emisión inicial para revisión del patrocinador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tcW w:type="dxa" w:w="1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23 de septiembre de 2026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(Plaxi Solutions)</w:t>
            </w:r>
          </w:p>
        </w:tc>
        <w:tc>
          <w:tcPr>
            <w:tcW w:type="dxa" w:w="3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Actualización por SC-02: se ajustan riesgo, aseguramiento y pruebas al stack web (HTML/CSS/JS + SDK Supabase) y se incorporan métricas web (Lighthouse / Core Web Vitals).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1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9 de octubre de 2026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(Plaxi Solutions)</w:t>
            </w:r>
          </w:p>
        </w:tc>
        <w:tc>
          <w:tcPr>
            <w:tcW w:type="dxa" w:w="3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Actualización por SC-04 (decisión del cliente): Supabase pasa al plan gratuito; se retira el costo de Supabase Pro de la línea base ($508.795 CLP/año) y se redefine RNF-06 sin porcentaje de disponibilidad comprometido.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Aprobaciones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560"/>
        <w:gridCol w:w="2600"/>
        <w:gridCol w:w="1700"/>
        <w:gridCol w:w="1500"/>
      </w:tblGrid>
      <w:tr>
        <w:trPr>
          <w:tblHeader/>
        </w:trPr>
        <w:tc>
          <w:tcPr>
            <w:tcW w:type="dxa" w:w="35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 / Cargo</w:t>
            </w:r>
          </w:p>
        </w:tc>
        <w:tc>
          <w:tcPr>
            <w:tcW w:type="dxa" w:w="1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Firma</w:t>
            </w:r>
          </w:p>
        </w:tc>
        <w:tc>
          <w:tcPr>
            <w:tcW w:type="dxa" w:w="15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c>
          <w:tcPr>
            <w:tcW w:type="dxa" w:w="3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 Rodríguez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Patrocinador (Dueño de Befine)</w:t>
            </w: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__/__/2026</w:t>
            </w:r>
          </w:p>
        </w:tc>
      </w:tr>
      <w:tr>
        <w:tc>
          <w:tcPr>
            <w:tcW w:type="dxa" w:w="3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 Fuentes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Equipo del proyecto (líder rotativo)</w:t>
            </w:r>
          </w:p>
        </w:tc>
        <w:tc>
          <w:tcPr>
            <w:tcW w:type="dxa" w:w="1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15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__/__/2026</w:t>
            </w:r>
          </w:p>
        </w:tc>
      </w:tr>
      <w:tr>
        <w:tc>
          <w:tcPr>
            <w:tcW w:type="dxa" w:w="3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Felipe Moraga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Equipo del proyecto (líder rotativo)</w:t>
            </w: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__/__/2026</w:t>
            </w:r>
          </w:p>
        </w:tc>
      </w:tr>
    </w:tbl>
    <w:p>
      <w:pPr>
        <w:pStyle w:val="Heading1"/>
        <w:spacing w:after="100" w:before="250"/>
      </w:pPr>
      <w:r>
        <w:rPr>
          <w:b/>
          <w:bCs/>
          <w:color w:val="1F3864"/>
          <w:sz w:val="25"/>
          <w:szCs w:val="25"/>
        </w:rPr>
        <w:t xml:space="preserve">Plan de Gestión de la Calidad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1. Expectativas de calidad del proyecto según el cliente</w:t>
      </w:r>
    </w:p>
    <w:p>
      <w:pPr>
        <w:spacing w:after="120" w:line="274"/>
      </w:pPr>
      <w:r>
        <w:rPr>
          <w:sz w:val="21"/>
          <w:szCs w:val="21"/>
        </w:rPr>
        <w:t xml:space="preserve">El cliente (Agua Purificada Befine, representado por Iván Rodríguez) espera una plataforma funcional, segura y confiable que reemplace a Shopify sin perder funciones clave, que permita gestionar el negocio desde el celular (mobile-first), que cobre en línea de forma segura y emita automáticamente documentos tributarios válidos ante el SII, y que quede en condiciones de operar en producción y delegarse sin supervisión constante del equipo de desarrollo. La experiencia de compra debe ser al menos tan simple como la actual para los ~450 clientes activos.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2. Identificación de los interesados del proyecto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Interesado</w:t>
            </w:r>
          </w:p>
        </w:tc>
        <w:tc>
          <w:tcPr>
            <w:tcW w:type="dxa" w:w="30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7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Interés de calidad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 Rodríguez</w:t>
            </w:r>
          </w:p>
        </w:tc>
        <w:tc>
          <w:tcPr>
            <w:tcW w:type="dxa" w:w="3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Patrocinador / Dueño de Befine</w:t>
            </w:r>
          </w:p>
        </w:tc>
        <w:tc>
          <w:tcPr>
            <w:tcW w:type="dxa" w:w="3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Plataforma confiable y delegable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 Fuentes</w:t>
            </w:r>
          </w:p>
        </w:tc>
        <w:tc>
          <w:tcPr>
            <w:tcW w:type="dxa" w:w="3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Datos, programación y gestión</w:t>
            </w:r>
          </w:p>
        </w:tc>
        <w:tc>
          <w:tcPr>
            <w:tcW w:type="dxa" w:w="3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Integridad de datos e informes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Felipe Moraga</w:t>
            </w:r>
          </w:p>
        </w:tc>
        <w:tc>
          <w:tcPr>
            <w:tcW w:type="dxa" w:w="3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Diseño de interfaz / frontend</w:t>
            </w:r>
          </w:p>
        </w:tc>
        <w:tc>
          <w:tcPr>
            <w:tcW w:type="dxa" w:w="3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Usabilidad y consistencia visual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Docente guía (Duoc UC)</w:t>
            </w:r>
          </w:p>
        </w:tc>
        <w:tc>
          <w:tcPr>
            <w:tcW w:type="dxa" w:w="3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Evaluador del Proyecto APT</w:t>
            </w:r>
          </w:p>
        </w:tc>
        <w:tc>
          <w:tcPr>
            <w:tcW w:type="dxa" w:w="3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Cumplimiento metodológico y académico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Clientes de Befine (~450)</w:t>
            </w:r>
          </w:p>
        </w:tc>
        <w:tc>
          <w:tcPr>
            <w:tcW w:type="dxa" w:w="3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Usuarios finales</w:t>
            </w:r>
          </w:p>
        </w:tc>
        <w:tc>
          <w:tcPr>
            <w:tcW w:type="dxa" w:w="3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Experiencia de compra simple y segura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Personal de reparto/logística</w:t>
            </w:r>
          </w:p>
        </w:tc>
        <w:tc>
          <w:tcPr>
            <w:tcW w:type="dxa" w:w="3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Usuario del panel de pedidos</w:t>
            </w:r>
          </w:p>
        </w:tc>
        <w:tc>
          <w:tcPr>
            <w:tcW w:type="dxa" w:w="3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Panel usable para gestionar entregas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3. Alcance inicial del proyecto</w:t>
      </w:r>
    </w:p>
    <w:p>
      <w:pPr>
        <w:spacing w:after="120" w:line="274"/>
      </w:pPr>
      <w:r>
        <w:rPr>
          <w:sz w:val="21"/>
          <w:szCs w:val="21"/>
        </w:rPr>
        <w:t xml:space="preserve">MVP: landing page (RF-01 a RF-14) + panel de administración (RF-15 a RF-25) + fidelización + Mercado Pago + OpenFactura, con los 14 requisitos no funcionales transversales, desarrollado con HTML5/CSS3/JavaScript sobre backend Supabase y desplegado con Docker. El detalle está en el Plan de Gestión del Alcance y en la EDT (Anexo A).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4. Línea base del cronograma</w:t>
      </w:r>
    </w:p>
    <w:p>
      <w:pPr>
        <w:spacing w:after="120" w:line="274"/>
      </w:pPr>
      <w:r>
        <w:rPr>
          <w:sz w:val="21"/>
          <w:szCs w:val="21"/>
        </w:rPr>
        <w:t xml:space="preserve">18 semanas (10-ago al 12-dic-2026), 5 fases. Hitos de calidad: validación en cada Sprint Review; 100% de casos de prueba críticos (pagos, facturación, pedidos) aprobados antes del Go-Live (21-nov-2026). Detalle en el Plan de Gestión del Cronograma.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5. Registro de riesgos (asociados a calidad)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Curva de integración entre el frontend HTML/JS y el SDK de Supabase puede introducir defectos → prototipo temprano de la integración y revisión cruzada de código.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Integración OpenFactura requiere certificación SII → sprint dedicado y temprano de validación.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Cobertura de pruebas con plazo acotado → priorización de flujos críticos. Registro completo en el Plan de Gestión de Riesgos y su anexo Excel.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6. KPI iniciales del proyecto (métricas de calidad)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KPI / métrica</w:t>
            </w:r>
          </w:p>
        </w:tc>
        <w:tc>
          <w:tcPr>
            <w:tcW w:type="dxa" w:w="3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 / umbral</w:t>
            </w:r>
          </w:p>
        </w:tc>
      </w:tr>
      <w:tr>
        <w:tc>
          <w:tcPr>
            <w:tcW w:type="dxa" w:w="5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Historias con criterios de aceptación cumplidos</w:t>
            </w:r>
          </w:p>
        </w:tc>
        <w:tc>
          <w:tcPr>
            <w:tcW w:type="dxa" w:w="3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100% antes de cierre de sprint</w:t>
            </w:r>
          </w:p>
        </w:tc>
      </w:tr>
      <w:tr>
        <w:tc>
          <w:tcPr>
            <w:tcW w:type="dxa" w:w="5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Casos de prueba críticos (pago, facturación, pedidos)</w:t>
            </w:r>
          </w:p>
        </w:tc>
        <w:tc>
          <w:tcPr>
            <w:tcW w:type="dxa" w:w="3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100% ejecutados y aprobados antes del Go-Live</w:t>
            </w:r>
          </w:p>
        </w:tc>
      </w:tr>
      <w:tr>
        <w:tc>
          <w:tcPr>
            <w:tcW w:type="dxa" w:w="5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Errores críticos abiertos al Go-Live</w:t>
            </w:r>
          </w:p>
        </w:tc>
        <w:tc>
          <w:tcPr>
            <w:tcW w:type="dxa" w:w="3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Transacciones de prueba exitosas en sandbox MP / OpenFactura</w:t>
            </w:r>
          </w:p>
        </w:tc>
        <w:tc>
          <w:tcPr>
            <w:tcW w:type="dxa" w:w="3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100% antes de habilitar producción</w:t>
            </w:r>
          </w:p>
        </w:tc>
      </w:tr>
      <w:tr>
        <w:tc>
          <w:tcPr>
            <w:tcW w:type="dxa" w:w="5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Rendimiento web — Lighthouse (Performance) / Core Web Vitals</w:t>
            </w:r>
          </w:p>
        </w:tc>
        <w:tc>
          <w:tcPr>
            <w:tcW w:type="dxa" w:w="3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Lighthouse ≥ 90; LCP ≤ 2,5 s en móvil</w:t>
            </w:r>
          </w:p>
        </w:tc>
      </w:tr>
      <w:tr>
        <w:tc>
          <w:tcPr>
            <w:tcW w:type="dxa" w:w="5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Tiempo de respuesta para crear un pedido (RNF-03)</w:t>
            </w:r>
          </w:p>
        </w:tc>
        <w:tc>
          <w:tcPr>
            <w:tcW w:type="dxa" w:w="3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≤ 5 segundos</w:t>
            </w:r>
          </w:p>
        </w:tc>
      </w:tr>
      <w:tr>
        <w:tc>
          <w:tcPr>
            <w:tcW w:type="dxa" w:w="5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Capacidad de procesamiento (RNF-03)</w:t>
            </w:r>
          </w:p>
        </w:tc>
        <w:tc>
          <w:tcPr>
            <w:tcW w:type="dxa" w:w="3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≥ 100 pedidos/hora</w:t>
            </w:r>
          </w:p>
        </w:tc>
      </w:tr>
      <w:tr>
        <w:tc>
          <w:tcPr>
            <w:tcW w:type="dxa" w:w="5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Disponibilidad en horario de operación (RNF-06)</w:t>
            </w:r>
          </w:p>
        </w:tc>
        <w:tc>
          <w:tcPr>
            <w:tcW w:type="dxa" w:w="3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Monitoreo activo; sin pausas por inactividad</w:t>
            </w:r>
          </w:p>
        </w:tc>
      </w:tr>
      <w:tr>
        <w:tc>
          <w:tcPr>
            <w:tcW w:type="dxa" w:w="5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Incidentes de seguridad/acceso indebido en pruebas (RNF-04)</w:t>
            </w:r>
          </w:p>
        </w:tc>
        <w:tc>
          <w:tcPr>
            <w:tcW w:type="dxa" w:w="3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Clientes registrados en el sistema de puntos a 30 días del Go-Live</w:t>
            </w:r>
          </w:p>
        </w:tc>
        <w:tc>
          <w:tcPr>
            <w:tcW w:type="dxa" w:w="3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≥ 10% de los ~450 activos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7. Aseguramiento de la calidad (actividades preventivas)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Revisión cruzada de código (pull requests) entre integrantes antes de integrar a la rama principal.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Definición de criterios de aceptación por historia antes de iniciar su desarrollo.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Sprint dedicado y temprano para validar OpenFactura en ambiente de certificación.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Prototipo temprano de la integración HTML/JS ↔ SDK de Supabase. </w:t>
      </w:r>
      <w:r>
        <w:rPr>
          <w:i/>
          <w:iCs/>
          <w:color w:val="595959"/>
          <w:sz w:val="19"/>
          <w:szCs w:val="19"/>
        </w:rPr>
        <w:t xml:space="preserve">(Ajustado por SC-02; reemplaza la capacitación en Flutter/Dart.)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8. Control de la calidad (pruebas)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43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Unitarias</w:t>
            </w:r>
          </w:p>
        </w:tc>
        <w:tc>
          <w:tcPr>
            <w:tcW w:type="dxa" w:w="43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Cálculo de puntos, descuentos por meta, tarifas de envío por zona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Durante cada sprint</w:t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Integración</w:t>
            </w:r>
          </w:p>
        </w:tc>
        <w:tc>
          <w:tcPr>
            <w:tcW w:type="dxa" w:w="43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Flujo carrito → Mercado Pago → emisión OpenFactura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Sprint de integraciones y previo a Go-Live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Rendimiento / web</w:t>
            </w:r>
          </w:p>
        </w:tc>
        <w:tc>
          <w:tcPr>
            <w:tcW w:type="dxa" w:w="43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Lighthouse y Core Web Vitals (LCP, CLS), tiempos de carga móvil, ≥100 pedidos/hora, ≤5 s (RNF-03)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Previo a Go-Live</w:t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Seguridad</w:t>
            </w:r>
          </w:p>
        </w:tc>
        <w:tc>
          <w:tcPr>
            <w:tcW w:type="dxa" w:w="43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Políticas RLS, HTTPS, control de acceso al panel (RNF-04)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Previo a Go-Live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Aceptación de usuario (UAT)</w:t>
            </w:r>
          </w:p>
        </w:tc>
        <w:tc>
          <w:tcPr>
            <w:tcW w:type="dxa" w:w="43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Flujo operativo completo validado por Iván Rodríguez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Semana previa al Go-Live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9. Roles y responsabilidades de calidad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3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Líder de sprint vigente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Verifica criterios de aceptación antes de cerrar historias.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 Fuentes</w:t>
            </w:r>
          </w:p>
        </w:tc>
        <w:tc>
          <w:tcPr>
            <w:tcW w:type="dxa" w:w="63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Métricas de calidad de datos e informes; integridad de datos migrados desde Shopify.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Felipe Moraga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Usabilidad y consistencia visual frente a los prototipos de Figma.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 Rodríguez</w:t>
            </w:r>
          </w:p>
        </w:tc>
        <w:tc>
          <w:tcPr>
            <w:tcW w:type="dxa" w:w="63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Ejecuta y valida las pruebas de aceptación de usuario (UAT).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la Calidad</dc:title>
  <dc:creator>Plaxi Solutions</dc:creator>
  <cp:lastModifiedBy>Un-named</cp:lastModifiedBy>
  <cp:revision>1</cp:revision>
  <dcterms:created xsi:type="dcterms:W3CDTF">2026-09-23T01:15:45.190Z</dcterms:created>
  <dcterms:modified xsi:type="dcterms:W3CDTF">2026-09-23T01:15:45.190Z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