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595959"/>
          <w:sz w:val="17"/>
          <w:szCs w:val="17"/>
        </w:rPr>
        <w:t xml:space="preserve">Plaxi Solutions · Plan de Dirección del Proyecto — Befine Store</w:t>
      </w:r>
    </w:p>
    <w:p>
      <w:pPr>
        <w:pBdr>
          <w:bottom w:val="single" w:color="1F3864" w:sz="8"/>
        </w:pBdr>
        <w:spacing w:after="110"/>
      </w:pPr>
      <w:r>
        <w:t xml:space="preserve"/>
      </w:r>
    </w:p>
    <w:p>
      <w:pPr>
        <w:spacing w:after="30"/>
      </w:pPr>
      <w:r>
        <w:rPr>
          <w:b/>
          <w:bCs/>
          <w:color w:val="1F3864"/>
          <w:sz w:val="32"/>
          <w:szCs w:val="32"/>
        </w:rPr>
        <w:t xml:space="preserve">Plan de Gestión de los Recursos</w:t>
      </w:r>
    </w:p>
    <w:p>
      <w:pPr>
        <w:spacing w:after="150"/>
      </w:pPr>
      <w:r>
        <w:rPr>
          <w:i/>
          <w:iCs/>
          <w:color w:val="595959"/>
          <w:sz w:val="19"/>
          <w:szCs w:val="19"/>
        </w:rPr>
        <w:t xml:space="preserve">Documento PLAN 06 — Versión 1.2 · 9 de octubre de 2026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Información del proyecto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200"/>
        <w:gridCol w:w="6160"/>
      </w:tblGrid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Empresa / Organización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Agua Purificada Befine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Proyecto</w:t>
            </w:r>
          </w:p>
        </w:tc>
        <w:tc>
          <w:tcPr>
            <w:tcW w:type="dxa" w:w="6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Befine Store — Plataforma de comercio electrónico propia para Agua Purificada Befine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Fecha de preparación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23 de septiembre de 2026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Cliente</w:t>
            </w:r>
          </w:p>
        </w:tc>
        <w:tc>
          <w:tcPr>
            <w:tcW w:type="dxa" w:w="6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Agua Purificada Befine (representado por Iván Rodríguez)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Patrocinador principal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Iván Rodríguez (Dueño y Gerente General de Befine)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Gerente de proyecto</w:t>
            </w:r>
          </w:p>
        </w:tc>
        <w:tc>
          <w:tcPr>
            <w:tcW w:type="dxa" w:w="6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— liderazgo rotativo por sprint (Iván Rodríguez, Carlos Fuentes, Felipe Moraga)</w:t>
            </w:r>
          </w:p>
        </w:tc>
      </w:tr>
    </w:tbl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Historial de versiones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300"/>
        <w:gridCol w:w="1700"/>
        <w:gridCol w:w="2600"/>
        <w:gridCol w:w="376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7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37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10 de septiembre de 2026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(Plaxi Solutions)</w:t>
            </w:r>
          </w:p>
        </w:tc>
        <w:tc>
          <w:tcPr>
            <w:tcW w:type="dxa" w:w="3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Emisión inicial para revisión del patrocinador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1.1</w:t>
            </w:r>
          </w:p>
        </w:tc>
        <w:tc>
          <w:tcPr>
            <w:tcW w:type="dxa" w:w="17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23 de septiembre de 2026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(Plaxi Solutions)</w:t>
            </w:r>
          </w:p>
        </w:tc>
        <w:tc>
          <w:tcPr>
            <w:tcW w:type="dxa" w:w="3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Actualización por SC-02: recurso tecnológico de frontend Flutter → HTML5/CSS3/JavaScript; se retira la capacitación en Flutter/Dart.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17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9 de octubre de 2026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(Plaxi Solutions)</w:t>
            </w:r>
          </w:p>
        </w:tc>
        <w:tc>
          <w:tcPr>
            <w:tcW w:type="dxa" w:w="3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Actualización por SC-04 (decisión del cliente): Supabase pasa al plan gratuito; se retira el costo de Supabase Pro de la línea base ($508.795 CLP/año) y se redefine RNF-06 sin porcentaje de disponibilidad comprometido.</w:t>
            </w:r>
          </w:p>
        </w:tc>
      </w:tr>
    </w:tbl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Aprobaciones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560"/>
        <w:gridCol w:w="2600"/>
        <w:gridCol w:w="1700"/>
        <w:gridCol w:w="1500"/>
      </w:tblGrid>
      <w:tr>
        <w:trPr>
          <w:tblHeader/>
        </w:trPr>
        <w:tc>
          <w:tcPr>
            <w:tcW w:type="dxa" w:w="35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 / Cargo</w:t>
            </w:r>
          </w:p>
        </w:tc>
        <w:tc>
          <w:tcPr>
            <w:tcW w:type="dxa" w:w="17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Firma</w:t>
            </w:r>
          </w:p>
        </w:tc>
        <w:tc>
          <w:tcPr>
            <w:tcW w:type="dxa" w:w="15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c>
          <w:tcPr>
            <w:tcW w:type="dxa" w:w="3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Iván Rodríguez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Patrocinador (Dueño de Befine)</w:t>
            </w:r>
          </w:p>
        </w:tc>
        <w:tc>
          <w:tcPr>
            <w:tcW w:type="dxa" w:w="1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15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__/__/2026</w:t>
            </w:r>
          </w:p>
        </w:tc>
      </w:tr>
      <w:tr>
        <w:tc>
          <w:tcPr>
            <w:tcW w:type="dxa" w:w="35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Carlos Fuentes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Equipo del proyecto (líder rotativo)</w:t>
            </w:r>
          </w:p>
        </w:tc>
        <w:tc>
          <w:tcPr>
            <w:tcW w:type="dxa" w:w="17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15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__/__/2026</w:t>
            </w:r>
          </w:p>
        </w:tc>
      </w:tr>
      <w:tr>
        <w:tc>
          <w:tcPr>
            <w:tcW w:type="dxa" w:w="3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Felipe Moraga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Equipo del proyecto (líder rotativo)</w:t>
            </w:r>
          </w:p>
        </w:tc>
        <w:tc>
          <w:tcPr>
            <w:tcW w:type="dxa" w:w="1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15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__/__/2026</w:t>
            </w:r>
          </w:p>
        </w:tc>
      </w:tr>
    </w:tbl>
    <w:p>
      <w:pPr>
        <w:pStyle w:val="Heading1"/>
        <w:spacing w:after="100" w:before="250"/>
      </w:pPr>
      <w:r>
        <w:rPr>
          <w:b/>
          <w:bCs/>
          <w:color w:val="1F3864"/>
          <w:sz w:val="25"/>
          <w:szCs w:val="25"/>
        </w:rPr>
        <w:t xml:space="preserve">Plan de Gestión de los Recursos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1. Propósito del plan</w:t>
      </w:r>
    </w:p>
    <w:p>
      <w:pPr>
        <w:spacing w:after="120" w:line="274"/>
      </w:pPr>
      <w:r>
        <w:rPr>
          <w:sz w:val="21"/>
          <w:szCs w:val="21"/>
        </w:rPr>
        <w:t xml:space="preserve">Este documento define cómo se identifican, adquieren, asignan, desarrollan y controlan los recursos —humanos, tecnológicos y de infraestructura— del proyecto Befine Store. El equipo es fijo (tres integrantes con liderazgo rotativo por sprint), por lo que el foco está en la asignación de responsabilidades y en el uso eficiente de los recursos tecnológicos preasignados, no en procesos de contratación.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2. Introducción</w:t>
      </w:r>
    </w:p>
    <w:p>
      <w:pPr>
        <w:spacing w:after="120" w:line="274"/>
      </w:pPr>
      <w:r>
        <w:rPr>
          <w:sz w:val="21"/>
          <w:szCs w:val="21"/>
        </w:rPr>
        <w:t xml:space="preserve">El equipo trabaja de forma full-stack rotativa: los tres integrantes participan en frontend y backend, rotando en cada sprint (2 semanas) la responsabilidad de líder de sprint (coordinación, integración y control de avance). No existe una jerarquía fija de director de proyecto; la función se ejerce de manera compartida y rotativa, con el patrocinador (Iván Rodríguez) como autoridad de escalamiento.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3. Asignación de recursos por entregable y actividad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3160"/>
        <w:gridCol w:w="1000"/>
        <w:gridCol w:w="1300"/>
        <w:gridCol w:w="7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Entregable (EDT) / Actividad</w:t>
            </w:r>
          </w:p>
        </w:tc>
        <w:tc>
          <w:tcPr>
            <w:tcW w:type="dxa" w:w="31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type="dxa" w:w="10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Asig.</w:t>
            </w:r>
          </w:p>
        </w:tc>
        <w:tc>
          <w:tcPr>
            <w:tcW w:type="dxa" w:w="13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Desde</w:t>
            </w:r>
          </w:p>
        </w:tc>
        <w:tc>
          <w:tcPr>
            <w:tcW w:type="dxa" w:w="7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Hasta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1.2 Planificación</w:t>
            </w:r>
          </w:p>
        </w:tc>
        <w:tc>
          <w:tcPr>
            <w:tcW w:type="dxa" w:w="3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Planes de gestión (alcance, cronograma, costos, config) — Carlos</w:t>
            </w:r>
          </w:p>
        </w:tc>
        <w:tc>
          <w:tcPr>
            <w:tcW w:type="dxa" w:w="1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20-70%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24 ago</w:t>
            </w:r>
          </w:p>
        </w:tc>
        <w:tc>
          <w:tcPr>
            <w:tcW w:type="dxa" w:w="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18 sep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1.2 Planificación</w:t>
            </w:r>
          </w:p>
        </w:tc>
        <w:tc>
          <w:tcPr>
            <w:tcW w:type="dxa" w:w="3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Planes (requisitos, calidad, comunicaciones) — Felipe</w:t>
            </w:r>
          </w:p>
        </w:tc>
        <w:tc>
          <w:tcPr>
            <w:tcW w:type="dxa" w:w="1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25%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24 ago</w:t>
            </w:r>
          </w:p>
        </w:tc>
        <w:tc>
          <w:tcPr>
            <w:tcW w:type="dxa" w:w="7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11 sep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1.2 Planificación</w:t>
            </w:r>
          </w:p>
        </w:tc>
        <w:tc>
          <w:tcPr>
            <w:tcW w:type="dxa" w:w="3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Planes (interesados, recursos, riesgos, adquisiciones, cambios) — Iván</w:t>
            </w:r>
          </w:p>
        </w:tc>
        <w:tc>
          <w:tcPr>
            <w:tcW w:type="dxa" w:w="1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24 ago</w:t>
            </w:r>
          </w:p>
        </w:tc>
        <w:tc>
          <w:tcPr>
            <w:tcW w:type="dxa" w:w="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18 sep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2.2 / 2.3 Diseño</w:t>
            </w:r>
          </w:p>
        </w:tc>
        <w:tc>
          <w:tcPr>
            <w:tcW w:type="dxa" w:w="3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Arquitectura y modelo de datos — Carlos</w:t>
            </w:r>
          </w:p>
        </w:tc>
        <w:tc>
          <w:tcPr>
            <w:tcW w:type="dxa" w:w="1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40%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7 sep</w:t>
            </w:r>
          </w:p>
        </w:tc>
        <w:tc>
          <w:tcPr>
            <w:tcW w:type="dxa" w:w="7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18 sep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2.4 Diseño</w:t>
            </w:r>
          </w:p>
        </w:tc>
        <w:tc>
          <w:tcPr>
            <w:tcW w:type="dxa" w:w="3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Diseño de interfaz mobile-first (Figma) — Felipe</w:t>
            </w:r>
          </w:p>
        </w:tc>
        <w:tc>
          <w:tcPr>
            <w:tcW w:type="dxa" w:w="1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7 sep</w:t>
            </w:r>
          </w:p>
        </w:tc>
        <w:tc>
          <w:tcPr>
            <w:tcW w:type="dxa" w:w="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18 sep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3 / 4 Desarrollo</w:t>
            </w:r>
          </w:p>
        </w:tc>
        <w:tc>
          <w:tcPr>
            <w:tcW w:type="dxa" w:w="3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Ejecución de sprints (landing + panel) — Rotativo</w:t>
            </w:r>
          </w:p>
        </w:tc>
        <w:tc>
          <w:tcPr>
            <w:tcW w:type="dxa" w:w="1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70%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21 sep</w:t>
            </w:r>
          </w:p>
        </w:tc>
        <w:tc>
          <w:tcPr>
            <w:tcW w:type="dxa" w:w="7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14 nov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3.4 / 3.5 Integr.</w:t>
            </w:r>
          </w:p>
        </w:tc>
        <w:tc>
          <w:tcPr>
            <w:tcW w:type="dxa" w:w="3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Mercado Pago y OpenFactura — Carlos</w:t>
            </w:r>
          </w:p>
        </w:tc>
        <w:tc>
          <w:tcPr>
            <w:tcW w:type="dxa" w:w="1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40%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21 sep</w:t>
            </w:r>
          </w:p>
        </w:tc>
        <w:tc>
          <w:tcPr>
            <w:tcW w:type="dxa" w:w="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14 nov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8.1 / 8.2 Docs</w:t>
            </w:r>
          </w:p>
        </w:tc>
        <w:tc>
          <w:tcPr>
            <w:tcW w:type="dxa" w:w="3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Documentación, manual y videos — Rotativo</w:t>
            </w:r>
          </w:p>
        </w:tc>
        <w:tc>
          <w:tcPr>
            <w:tcW w:type="dxa" w:w="1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 nov</w:t>
            </w:r>
          </w:p>
        </w:tc>
        <w:tc>
          <w:tcPr>
            <w:tcW w:type="dxa" w:w="7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14 nov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8.3 Capacitación</w:t>
            </w:r>
          </w:p>
        </w:tc>
        <w:tc>
          <w:tcPr>
            <w:tcW w:type="dxa" w:w="3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Capacitación a usuarios — Rotativo</w:t>
            </w:r>
          </w:p>
        </w:tc>
        <w:tc>
          <w:tcPr>
            <w:tcW w:type="dxa" w:w="1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7%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9 nov</w:t>
            </w:r>
          </w:p>
        </w:tc>
        <w:tc>
          <w:tcPr>
            <w:tcW w:type="dxa" w:w="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14 nov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7.3 Go-Live</w:t>
            </w:r>
          </w:p>
        </w:tc>
        <w:tc>
          <w:tcPr>
            <w:tcW w:type="dxa" w:w="3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Entrega y puesta en marcha — Rotativo</w:t>
            </w:r>
          </w:p>
        </w:tc>
        <w:tc>
          <w:tcPr>
            <w:tcW w:type="dxa" w:w="1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3%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9 nov</w:t>
            </w:r>
          </w:p>
        </w:tc>
        <w:tc>
          <w:tcPr>
            <w:tcW w:type="dxa" w:w="7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20 nov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1.4 Cierre</w:t>
            </w:r>
          </w:p>
        </w:tc>
        <w:tc>
          <w:tcPr>
            <w:tcW w:type="dxa" w:w="3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Cierre e informe final / defensa — Iván/Carlos/Felipe</w:t>
            </w:r>
          </w:p>
        </w:tc>
        <w:tc>
          <w:tcPr>
            <w:tcW w:type="dxa" w:w="1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30-70%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16 nov</w:t>
            </w:r>
          </w:p>
        </w:tc>
        <w:tc>
          <w:tcPr>
            <w:tcW w:type="dxa" w:w="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27 nov</w:t>
            </w:r>
          </w:p>
        </w:tc>
      </w:tr>
    </w:tbl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4. Recursos tecnológicos y de infraestructura preasignados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Repositorio GitHub (Grupo N3) + GitHub Projects (Kanban).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Supabase (PostgreSQL, Auth, Edge Functions) — plan gratuito (SC-04).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HTML5, CSS3 y JavaScript (desarrollo de frontend) y Figma (diseño de interfaz). </w:t>
      </w:r>
      <w:r>
        <w:rPr>
          <w:i/>
          <w:iCs/>
          <w:color w:val="595959"/>
          <w:sz w:val="19"/>
          <w:szCs w:val="19"/>
        </w:rPr>
        <w:t xml:space="preserve">(Frontend actualizado por SC-02.)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Docker (contenerización y despliegue).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Servicios de terceros: Mercado Pago (pagos) y OpenFactura/Haulmer (facturación).</w:t>
      </w:r>
    </w:p>
    <w:p>
      <w:pPr>
        <w:spacing w:after="120" w:line="274"/>
      </w:pPr>
      <w:r>
        <w:rPr>
          <w:sz w:val="21"/>
          <w:szCs w:val="21"/>
        </w:rPr>
        <w:t xml:space="preserve">No se requieren recursos físicos adicionales más allá de los equipos personales de cada integrante, dada la modalidad de trabajo remoto/vespertino.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5. Roles y responsabilidades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59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Patrocinador (Iván Rodríguez)</w:t>
            </w:r>
          </w:p>
        </w:tc>
        <w:tc>
          <w:tcPr>
            <w:tcW w:type="dxa" w:w="59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Provee reglas de negocio, financia infraestructura, aprueba entregables y cambios de alcance/costo/cronograma.</w:t>
            </w:r>
          </w:p>
        </w:tc>
      </w:tr>
      <w:tr>
        <w:tc>
          <w:tcPr>
            <w:tcW w:type="dxa" w:w="34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Líder de sprint vigente (rotativo)</w:t>
            </w:r>
          </w:p>
        </w:tc>
        <w:tc>
          <w:tcPr>
            <w:tcW w:type="dxa" w:w="59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Coordina el equipo, integra el trabajo, controla el avance y conduce la Sprint Review.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Responsable de datos e integraciones (Carlos)</w:t>
            </w:r>
          </w:p>
        </w:tc>
        <w:tc>
          <w:tcPr>
            <w:tcW w:type="dxa" w:w="59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Arquitectura, modelo de datos, informes e integraciones Mercado Pago/OpenFactura.</w:t>
            </w:r>
          </w:p>
        </w:tc>
      </w:tr>
      <w:tr>
        <w:tc>
          <w:tcPr>
            <w:tcW w:type="dxa" w:w="34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Responsable de interfaz/frontend (Felipe)</w:t>
            </w:r>
          </w:p>
        </w:tc>
        <w:tc>
          <w:tcPr>
            <w:tcW w:type="dxa" w:w="59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Diseño mobile-first, usabilidad y consistencia visual.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Equipo de desarrollo (los tres)</w:t>
            </w:r>
          </w:p>
        </w:tc>
        <w:tc>
          <w:tcPr>
            <w:tcW w:type="dxa" w:w="59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Desarrollo full-stack, pruebas y documentación.</w:t>
            </w:r>
          </w:p>
        </w:tc>
      </w:tr>
    </w:tbl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6. Matriz de asignación de responsabilidades (RACI)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416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41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3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Iván</w:t>
            </w:r>
          </w:p>
        </w:tc>
        <w:tc>
          <w:tcPr>
            <w:tcW w:type="dxa" w:w="13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Carlos</w:t>
            </w:r>
          </w:p>
        </w:tc>
        <w:tc>
          <w:tcPr>
            <w:tcW w:type="dxa" w:w="13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Felipe</w:t>
            </w:r>
          </w:p>
        </w:tc>
        <w:tc>
          <w:tcPr>
            <w:tcW w:type="dxa" w:w="13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Docente</w:t>
            </w:r>
          </w:p>
        </w:tc>
      </w:tr>
      <w:tr>
        <w:tc>
          <w:tcPr>
            <w:tcW w:type="dxa" w:w="4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Aprobar planes de gestión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4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Definir reglas de negocio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R/A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Arquitectura y modelo de datos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R/A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4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Diseño de interfaz (Figma)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R/A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Desarrollo full-stack (sprints)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Integración MP / OpenFactura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R/A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Pruebas de aceptación (UAT)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R/A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Aprobación de hitos académicos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</w:t>
            </w:r>
          </w:p>
        </w:tc>
      </w:tr>
    </w:tbl>
    <w:p>
      <w:pPr>
        <w:spacing w:after="120" w:line="274"/>
      </w:pPr>
      <w:r>
        <w:rPr>
          <w:i/>
          <w:iCs/>
          <w:color w:val="595959"/>
          <w:sz w:val="19"/>
          <w:szCs w:val="19"/>
        </w:rPr>
        <w:t xml:space="preserve">R = Responsable de ejecutar · A = Aprueba / rinde cuentas · C = Consultado · I = Informado.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7. Desarrollo del equipo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Prototipos tempranos de la integración HTML/JS ↔ Supabase como aprendizaje aplicado antes de comprometer funcionalidades completas. </w:t>
      </w:r>
      <w:r>
        <w:rPr>
          <w:i/>
          <w:iCs/>
          <w:color w:val="595959"/>
          <w:sz w:val="19"/>
          <w:szCs w:val="19"/>
        </w:rPr>
        <w:t xml:space="preserve">(Ajustado por SC-02; se retira la capacitación en Flutter/Dart.)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Revisión cruzada de código entre integrantes como práctica de mejora continua.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Rotación de liderazgo de sprint como desarrollo de habilidades de gestión para los tres integrantes.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los Recursos</dc:title>
  <dc:creator>Plaxi Solutions</dc:creator>
  <cp:lastModifiedBy>Un-named</cp:lastModifiedBy>
  <cp:revision>1</cp:revision>
  <dcterms:created xsi:type="dcterms:W3CDTF">2026-09-23T01:15:45.233Z</dcterms:created>
  <dcterms:modified xsi:type="dcterms:W3CDTF">2026-09-23T01:15:45.233Z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