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color w:val="595959"/>
          <w:sz w:val="18"/>
          <w:szCs w:val="18"/>
        </w:rPr>
        <w:t xml:space="preserve">Plaxi Solutions · Plan de Dirección del Proyecto — Befine Store</w:t>
      </w:r>
    </w:p>
    <w:p>
      <w:pPr>
        <w:spacing w:after="40" w:before="120"/>
        <w:jc w:val="center"/>
      </w:pPr>
      <w:r>
        <w:rPr>
          <w:b/>
          <w:bCs/>
          <w:color w:val="1F4E5F"/>
          <w:sz w:val="40"/>
          <w:szCs w:val="40"/>
        </w:rPr>
        <w:t xml:space="preserve">Plan de Gestión de las Comunicaciones</w:t>
      </w:r>
    </w:p>
    <w:p>
      <w:pPr>
        <w:spacing w:after="260"/>
        <w:jc w:val="center"/>
      </w:pPr>
      <w:r>
        <w:rPr>
          <w:i/>
          <w:iCs/>
          <w:color w:val="2E86AB"/>
          <w:sz w:val="20"/>
          <w:szCs w:val="20"/>
        </w:rPr>
        <w:t xml:space="preserve">Documento PLAN 07 — Versión 1.0 · 10 de septiembre de 2026</w:t>
      </w:r>
    </w:p>
    <w:p>
      <w:pPr>
        <w:pStyle w:val="Heading3"/>
      </w:pPr>
      <w:r>
        <w:t xml:space="preserve">Información del proyecto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6048"/>
      </w:tblGrid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Empresa / Organización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Agua Purificada Befine</w:t>
            </w:r>
          </w:p>
        </w:tc>
      </w:tr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Proyecto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Befine Store — Plataforma de comercio electrónico propia para Agua Purificada Befine</w:t>
            </w:r>
          </w:p>
        </w:tc>
      </w:tr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Fecha de preparación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 de septiembre de 2026</w:t>
            </w:r>
          </w:p>
        </w:tc>
      </w:tr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Cliente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Agua Purificada Befine (representado por Iván Rodríguez)</w:t>
            </w:r>
          </w:p>
        </w:tc>
      </w:tr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Patrocinador principal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Iván Rodríguez (Dueño y Gerente General de Befine)</w:t>
            </w:r>
          </w:p>
        </w:tc>
      </w:tr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Gerente de proyecto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Grupo N3 — liderazgo rotativo por sprint (Iván Rodríguez, Carlos Fuentes, Felipe Moraga)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Historial de versiones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1727"/>
        <w:gridCol w:w="2880"/>
        <w:gridCol w:w="3168"/>
      </w:tblGrid>
      <w:tr>
        <w:trPr>
          <w:cantSplit/>
          <w:tblHeader/>
        </w:trPr>
        <w:tc>
          <w:tcPr>
            <w:tcW w:type="dxa" w:w="1296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727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88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168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72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 de septiembre de 2026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Grupo N3 (Plaxi Solutions)</w:t>
            </w:r>
          </w:p>
        </w:tc>
        <w:tc>
          <w:tcPr>
            <w:tcW w:type="dxa" w:w="31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Emisión inicial para revisión del patrocinador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Aprobaciones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3168"/>
        <w:gridCol w:w="2304"/>
        <w:gridCol w:w="1296"/>
      </w:tblGrid>
      <w:tr>
        <w:trPr>
          <w:cantSplit/>
          <w:tblHeader/>
        </w:trPr>
        <w:tc>
          <w:tcPr>
            <w:tcW w:type="dxa" w:w="2304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168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 / Cargo</w:t>
            </w:r>
          </w:p>
        </w:tc>
        <w:tc>
          <w:tcPr>
            <w:tcW w:type="dxa" w:w="2304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  <w:tc>
          <w:tcPr>
            <w:tcW w:type="dxa" w:w="1296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3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Iván Rodríguez</w:t>
            </w:r>
          </w:p>
        </w:tc>
        <w:tc>
          <w:tcPr>
            <w:tcW w:type="dxa" w:w="31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Patrocinador (Dueño de Befine)</w:t>
            </w:r>
          </w:p>
        </w:tc>
        <w:tc>
          <w:tcPr>
            <w:tcW w:type="dxa" w:w="23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__/__/2026</w:t>
            </w:r>
          </w:p>
        </w:tc>
      </w:tr>
      <w:tr>
        <w:trPr>
          <w:cantSplit/>
        </w:trPr>
        <w:tc>
          <w:tcPr>
            <w:tcW w:type="dxa" w:w="2304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Carlos Fuentes</w:t>
            </w:r>
          </w:p>
        </w:tc>
        <w:tc>
          <w:tcPr>
            <w:tcW w:type="dxa" w:w="3168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Equipo del proyecto (líder rotativo)</w:t>
            </w:r>
          </w:p>
        </w:tc>
        <w:tc>
          <w:tcPr>
            <w:tcW w:type="dxa" w:w="2304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1296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__/__/2026</w:t>
            </w:r>
          </w:p>
        </w:tc>
      </w:tr>
      <w:tr>
        <w:trPr>
          <w:cantSplit/>
        </w:trPr>
        <w:tc>
          <w:tcPr>
            <w:tcW w:type="dxa" w:w="23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Felipe Moraga</w:t>
            </w:r>
          </w:p>
        </w:tc>
        <w:tc>
          <w:tcPr>
            <w:tcW w:type="dxa" w:w="31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Equipo del proyecto (líder rotativo)</w:t>
            </w:r>
          </w:p>
        </w:tc>
        <w:tc>
          <w:tcPr>
            <w:tcW w:type="dxa" w:w="23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__/__/2026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Plan de Gestión de las Comunicaciones</w:t>
      </w:r>
    </w:p>
    <w:p>
      <w:pPr>
        <w:pStyle w:val="Heading2"/>
      </w:pPr>
      <w:r>
        <w:t xml:space="preserve">1. Propósito</w:t>
      </w:r>
    </w:p>
    <w:p>
      <w:pPr>
        <w:spacing w:after="160" w:before="0"/>
        <w:jc w:val="both"/>
      </w:pPr>
      <w:r>
        <w:rPr>
          <w:b w:val="false"/>
          <w:bCs w:val="false"/>
          <w:i w:val="false"/>
          <w:iCs w:val="false"/>
        </w:rPr>
        <w:t xml:space="preserve">Este plan asegura que la información relevante del proyecto Befine Store se genere, distribuya y confirme oportunamente entre los interesados, considerando que el equipo es reducido (tres personas con liderazgo rotativo), que el patrocinador es a la vez integrante del equipo, y que existe un interesado externo de evaluación (el docente guía del curso PTY4614).</w:t>
      </w:r>
    </w:p>
    <w:p>
      <w:pPr>
        <w:pStyle w:val="Heading2"/>
      </w:pPr>
      <w:r>
        <w:t xml:space="preserve">2. Restricciones y premisas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Restricción: disponibilidad acotada del equipo por su modalidad de estudio vespertina; las comunicaciones formales se concentran en la Sprint Review quincenal.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Restricción: las comunicaciones hacia el docente guía se rigen por el calendario formal del curso PTY4614.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Premisa: los tres integrantes tienen acceso permanente a GitHub y al chat del equipo; el patrocinador está disponible para validar reglas de negocio.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Premisa: la comunicación hacia los ~450 clientes de Befine se realiza por los canales existentes del negocio (tienda/redes y WhatsApp Business).</w:t>
      </w:r>
    </w:p>
    <w:p>
      <w:pPr>
        <w:pStyle w:val="Heading2"/>
      </w:pPr>
      <w:r>
        <w:t xml:space="preserve">3. Requisitos de comunicación de los interesados</w:t>
      </w:r>
    </w:p>
    <w:p>
      <w:pPr>
        <w:spacing w:after="160" w:before="0"/>
        <w:jc w:val="both"/>
      </w:pPr>
      <w:r>
        <w:rPr>
          <w:b w:val="false"/>
          <w:bCs w:val="false"/>
          <w:i w:val="false"/>
          <w:iCs w:val="false"/>
        </w:rPr>
        <w:t xml:space="preserve">Cada interesado requiere información distinta según su rol: el patrocinador necesita avance de sprint y decisiones que afecten alcance/cronograma/costo; el equipo necesita estado de tareas y bloqueos; el docente guía necesita el cumplimiento de hitos académicos; los clientes necesitan el aviso de migración y continuidad del servicio; el personal de reparto necesita la capacitación del panel de pedidos.</w:t>
      </w:r>
    </w:p>
    <w:p>
      <w:pPr>
        <w:pStyle w:val="Heading2"/>
      </w:pPr>
      <w:r>
        <w:t xml:space="preserve">4. Tabla de requerimientos de comunicación del proyecto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900"/>
        <w:gridCol w:w="1100"/>
        <w:gridCol w:w="1150"/>
        <w:gridCol w:w="900"/>
        <w:gridCol w:w="1100"/>
        <w:gridCol w:w="1150"/>
      </w:tblGrid>
      <w:tr>
        <w:trPr>
          <w:cantSplit/>
          <w:tblHeader/>
        </w:trPr>
        <w:tc>
          <w:tcPr>
            <w:tcW w:type="dxa" w:w="15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Comunicación</w:t>
            </w:r>
          </w:p>
        </w:tc>
        <w:tc>
          <w:tcPr>
            <w:tcW w:type="dxa" w:w="15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9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1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  <w:tc>
          <w:tcPr>
            <w:tcW w:type="dxa" w:w="11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9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Plazo confirm.</w:t>
            </w:r>
          </w:p>
        </w:tc>
        <w:tc>
          <w:tcPr>
            <w:tcW w:type="dxa" w:w="11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1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Audiencia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Validar avance del sprint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Reunión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Presencial / videollamada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Cada 2 semanas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Líder de sprint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Equipo + patrocinador</w:t>
            </w:r>
          </w:p>
        </w:tc>
      </w:tr>
      <w:tr>
        <w:trPr>
          <w:cantSplit/>
        </w:trPr>
        <w:tc>
          <w:tcPr>
            <w:tcW w:type="dxa" w:w="15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Tablero Kanban</w:t>
            </w:r>
          </w:p>
        </w:tc>
        <w:tc>
          <w:tcPr>
            <w:tcW w:type="dxa" w:w="15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Estado de tareas</w:t>
            </w:r>
          </w:p>
        </w:tc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Tablero</w:t>
            </w:r>
          </w:p>
        </w:tc>
        <w:tc>
          <w:tcPr>
            <w:tcW w:type="dxa" w:w="11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GitHub Projects</w:t>
            </w:r>
          </w:p>
        </w:tc>
        <w:tc>
          <w:tcPr>
            <w:tcW w:type="dxa" w:w="115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Continua</w:t>
            </w:r>
          </w:p>
        </w:tc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 el día</w:t>
            </w:r>
          </w:p>
        </w:tc>
        <w:tc>
          <w:tcPr>
            <w:tcW w:type="dxa" w:w="11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Todo el equipo</w:t>
            </w:r>
          </w:p>
        </w:tc>
        <w:tc>
          <w:tcPr>
            <w:tcW w:type="dxa" w:w="115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Equipo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Coordinación diaria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Coordinar y desbloquear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Mensaje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WhatsApp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Diaria / según necesidad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 el día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Todo el equipo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Equipo</w:t>
            </w:r>
          </w:p>
        </w:tc>
      </w:tr>
      <w:tr>
        <w:trPr>
          <w:cantSplit/>
        </w:trPr>
        <w:tc>
          <w:tcPr>
            <w:tcW w:type="dxa" w:w="15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Reporte de avance académico</w:t>
            </w:r>
          </w:p>
        </w:tc>
        <w:tc>
          <w:tcPr>
            <w:tcW w:type="dxa" w:w="15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Informar hitos</w:t>
            </w:r>
          </w:p>
        </w:tc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Documento</w:t>
            </w:r>
          </w:p>
        </w:tc>
        <w:tc>
          <w:tcPr>
            <w:tcW w:type="dxa" w:w="11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Entrega formal / correo Duoc</w:t>
            </w:r>
          </w:p>
        </w:tc>
        <w:tc>
          <w:tcPr>
            <w:tcW w:type="dxa" w:w="115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Según calendario del curso</w:t>
            </w:r>
          </w:p>
        </w:tc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48 h</w:t>
            </w:r>
          </w:p>
        </w:tc>
        <w:tc>
          <w:tcPr>
            <w:tcW w:type="dxa" w:w="11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Líder de sprint</w:t>
            </w:r>
          </w:p>
        </w:tc>
        <w:tc>
          <w:tcPr>
            <w:tcW w:type="dxa" w:w="115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Docente guía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Solicitud de cambio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Gestionar cambios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Formulario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Formato de SC (anexo)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 hoc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72 h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Solicitante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Patrocinador + equipo</w:t>
            </w:r>
          </w:p>
        </w:tc>
      </w:tr>
      <w:tr>
        <w:trPr>
          <w:cantSplit/>
        </w:trPr>
        <w:tc>
          <w:tcPr>
            <w:tcW w:type="dxa" w:w="15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Aviso de migración / Go-Live</w:t>
            </w:r>
          </w:p>
        </w:tc>
        <w:tc>
          <w:tcPr>
            <w:tcW w:type="dxa" w:w="15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Informar continuidad</w:t>
            </w:r>
          </w:p>
        </w:tc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Comunicado</w:t>
            </w:r>
          </w:p>
        </w:tc>
        <w:tc>
          <w:tcPr>
            <w:tcW w:type="dxa" w:w="11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Tienda/redes, WhatsApp Business</w:t>
            </w:r>
          </w:p>
        </w:tc>
        <w:tc>
          <w:tcPr>
            <w:tcW w:type="dxa" w:w="115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Puntual (previo al 21-nov)</w:t>
            </w:r>
          </w:p>
        </w:tc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Iván Rodríguez</w:t>
            </w:r>
          </w:p>
        </w:tc>
        <w:tc>
          <w:tcPr>
            <w:tcW w:type="dxa" w:w="115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Clientes de Befine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Escalamiento de bloqueo crítico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Resolver bloqueo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Reunión extra.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Videollamada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Inmediata al detectarse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Inmediato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Cualquier integrante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Patrocinador / docente</w:t>
            </w:r>
          </w:p>
        </w:tc>
      </w:tr>
    </w:tbl>
    <w:p>
      <w:pPr>
        <w:pStyle w:val="Heading2"/>
      </w:pPr>
      <w:r>
        <w:t xml:space="preserve">5. Recursos asignados a actividades de comunicaciones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GitHub y GitHub Projects: comunicación técnica, historial de decisiones y estado del backlog.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Chat del equipo (WhatsApp): coordinación operativa ágil entre los tres integrantes.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Sprint Review (videollamada/presencial): validación formal quincenal con el patrocinador.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Canales de Befine (tienda/redes, WhatsApp Business): comunicación hacia clientes finales.</w:t>
      </w:r>
    </w:p>
    <w:p>
      <w:pPr>
        <w:pStyle w:val="Heading2"/>
      </w:pPr>
      <w:r>
        <w:t xml:space="preserve">6. Proceso de escalamiento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3600"/>
      </w:tblGrid>
      <w:tr>
        <w:trPr>
          <w:cantSplit/>
          <w:tblHeader/>
        </w:trPr>
        <w:tc>
          <w:tcPr>
            <w:tcW w:type="dxa" w:w="11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3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Escala a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Duda o bloqueo técnico dentro de un área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Responsable del área + líder de sprint (mismo día)</w:t>
            </w:r>
          </w:p>
        </w:tc>
      </w:tr>
      <w:tr>
        <w:trPr>
          <w:cantSplit/>
        </w:trPr>
        <w:tc>
          <w:tcPr>
            <w:tcW w:type="dxa" w:w="11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Desacuerdo del equipo sin consenso</w:t>
            </w:r>
          </w:p>
        </w:tc>
        <w:tc>
          <w:tcPr>
            <w:tcW w:type="dxa" w:w="36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Consenso de los tres integrantes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Impacto en alcance, cronograma o presupuesto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Patrocinador (Iván Rodríguez)</w:t>
            </w:r>
          </w:p>
        </w:tc>
      </w:tr>
      <w:tr>
        <w:trPr>
          <w:cantSplit/>
        </w:trPr>
        <w:tc>
          <w:tcPr>
            <w:tcW w:type="dxa" w:w="11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Conflicto no resuelto o riesgo académico</w:t>
            </w:r>
          </w:p>
        </w:tc>
        <w:tc>
          <w:tcPr>
            <w:tcW w:type="dxa" w:w="36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Docente guía del curso PTY4614</w:t>
            </w:r>
          </w:p>
        </w:tc>
      </w:tr>
    </w:tbl>
    <w:p>
      <w:pPr>
        <w:pStyle w:val="Heading2"/>
      </w:pPr>
      <w:r>
        <w:t xml:space="preserve">7. Diagrama de flujo de información</w:t>
      </w:r>
    </w:p>
    <w:p>
      <w:pPr>
        <w:spacing w:after="160" w:before="0"/>
        <w:jc w:val="both"/>
      </w:pPr>
      <w:r>
        <w:rPr>
          <w:b w:val="false"/>
          <w:bCs w:val="false"/>
          <w:i w:val="false"/>
          <w:iCs w:val="false"/>
        </w:rPr>
        <w:t xml:space="preserve">El flujo de información sigue este circuito: el equipo registra su trabajo en GitHub/Kanban (flujo continuo) → el líder de sprint consolida el avance y lo presenta en la Sprint Review al patrocinador (flujo quincenal) → las decisiones que afectan líneas base se documentan como Solicitud de Cambio → los hitos se reportan al docente guía según el calendario del curso → las comunicaciones al cliente final (migración, Go-Live, capacitación) las emite el patrocinador por los canales de Befine.</w:t>
      </w:r>
    </w:p>
    <w:p>
      <w:pPr>
        <w:pStyle w:val="Heading2"/>
      </w:pPr>
      <w:r>
        <w:t xml:space="preserve">8. Actualización y refinación del plan de comunicaciones</w:t>
      </w:r>
    </w:p>
    <w:p>
      <w:pPr>
        <w:spacing w:after="160" w:before="0"/>
        <w:jc w:val="both"/>
      </w:pPr>
      <w:r>
        <w:rPr>
          <w:b w:val="false"/>
          <w:bCs w:val="false"/>
          <w:i w:val="false"/>
          <w:iCs w:val="false"/>
        </w:rPr>
        <w:t xml:space="preserve">Este plan se revisa al cierre de cada fase y cuando cambie el conjunto de interesados o sus necesidades de información. Cualquier ajuste se registra en el historial de versiones del documento.</w:t>
      </w:r>
    </w:p>
    <w:p>
      <w:pPr>
        <w:pStyle w:val="Heading2"/>
      </w:pPr>
      <w:r>
        <w:t xml:space="preserve">9. Glosario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00"/>
      </w:tblGrid>
      <w:tr>
        <w:trPr>
          <w:cantSplit/>
          <w:tblHeader/>
        </w:trPr>
        <w:tc>
          <w:tcPr>
            <w:tcW w:type="dxa" w:w="2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59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Reunión de cierre de sprint (cada 2 semanas) donde se valida el incremento con el patrocinador.</w:t>
            </w:r>
          </w:p>
        </w:tc>
      </w:tr>
      <w:tr>
        <w:trPr>
          <w:cantSplit/>
        </w:trPr>
        <w:tc>
          <w:tcPr>
            <w:tcW w:type="dxa" w:w="22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Kanban</w:t>
            </w:r>
          </w:p>
        </w:tc>
        <w:tc>
          <w:tcPr>
            <w:tcW w:type="dxa" w:w="5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Tablero visual de tareas (GitHub Projects) con estados por columna.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Solicitud de Cambio (SC)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Formato formal para solicitar y evaluar un cambio a las líneas base del proyecto.</w:t>
            </w:r>
          </w:p>
        </w:tc>
      </w:tr>
      <w:tr>
        <w:trPr>
          <w:cantSplit/>
        </w:trPr>
        <w:tc>
          <w:tcPr>
            <w:tcW w:type="dxa" w:w="22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Go-Live</w:t>
            </w:r>
          </w:p>
        </w:tc>
        <w:tc>
          <w:tcPr>
            <w:tcW w:type="dxa" w:w="5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Puesta en producción de la plataforma para uso real de los clientes.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DTE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Documento Tributario Electrónico (boleta o factura) emitido vía OpenFactura.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Befine Store — Plan de Gestión de las Comunicaciones</w:t>
    </w:r>
    <w:r>
      <w:rPr>
        <w:sz w:val="16"/>
        <w:szCs w:val="16"/>
      </w:rPr>
      <w:t xml:space="preserve">	</w:t>
    </w: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i/>
        <w:iCs/>
        <w:color w:val="595959"/>
        <w:sz w:val="16"/>
        <w:szCs w:val="16"/>
      </w:rPr>
      <w:t xml:space="preserve">Befine Store · Plan de Gestión de las Comunicaciones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3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180" w:before="360"/>
    </w:pPr>
    <w:rPr>
      <w:rFonts w:ascii="Calibri" w:cs="Calibri" w:eastAsia="Calibri" w:hAnsi="Calibri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86A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200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las Comunicaciones — Befine Store</dc:title>
  <dc:creator>Grupo N3 — Plaxi Solutions</dc:creator>
  <dc:description>Proyecto de Título PTY4614 — Duoc UC</dc:description>
  <cp:lastModifiedBy>Un-named</cp:lastModifiedBy>
  <cp:revision>1</cp:revision>
  <dcterms:created xsi:type="dcterms:W3CDTF">2026-09-10T07:51:32.140Z</dcterms:created>
  <dcterms:modified xsi:type="dcterms:W3CDTF">2026-09-10T07:51:32.140Z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