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595959"/>
          <w:sz w:val="17"/>
          <w:szCs w:val="17"/>
        </w:rPr>
        <w:t xml:space="preserve">Plaxi Solutions · Plan de Dirección del Proyecto — Befine Store</w:t>
      </w:r>
    </w:p>
    <w:p>
      <w:pPr>
        <w:pBdr>
          <w:bottom w:val="single" w:color="1F3864" w:sz="8"/>
        </w:pBdr>
        <w:spacing w:after="110"/>
      </w:pPr>
      <w:r>
        <w:t xml:space="preserve"/>
      </w:r>
    </w:p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Plan de Gestión de Riesgos</w:t>
      </w:r>
    </w:p>
    <w:p>
      <w:pPr>
        <w:spacing w:after="150"/>
      </w:pPr>
      <w:r>
        <w:rPr>
          <w:i/>
          <w:iCs/>
          <w:color w:val="595959"/>
          <w:sz w:val="19"/>
          <w:szCs w:val="19"/>
        </w:rPr>
        <w:t xml:space="preserve">Documento PLAN 08 — Versión 1.2 · 9 de octubre de 2026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Información del proyecto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6160"/>
      </w:tblGrid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Empresa / Organización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Befine Store — Plataforma de comercio electrónico propia para 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Fecha de preparación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 (representado por Iván Rodríguez)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Patrocinador principal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 (Dueño y Gerente General de Befine)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Gerente de 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Historial de versiones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300"/>
        <w:gridCol w:w="1700"/>
        <w:gridCol w:w="2600"/>
        <w:gridCol w:w="37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3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 de septiembre de 2026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Emisión inicial para revisión del patrocinador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Actualización por SC-02: se retira el riesgo de curva de aprendizaje de Flutter/Dart y se reemplaza por la curva de integración HTML/JS ↔ SDK de Supabase (probabilidad e impacto menores).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9 de octubre de 2026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Actualización por SC-04 (decisión del cliente): Supabase pasa al plan gratuito; se retira el costo de Supabase Pro de la línea base ($508.795 CLP/año) y se redefine RNF-06 sin porcentaje de disponibilidad comprometido.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Aprobaciones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560"/>
        <w:gridCol w:w="2600"/>
        <w:gridCol w:w="1700"/>
        <w:gridCol w:w="1500"/>
      </w:tblGrid>
      <w:tr>
        <w:trPr>
          <w:tblHeader/>
        </w:trPr>
        <w:tc>
          <w:tcPr>
            <w:tcW w:type="dxa" w:w="3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/ Cargo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Patrocinador (Dueño de Befine)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</w:tbl>
    <w:p>
      <w:pPr>
        <w:pStyle w:val="Heading1"/>
        <w:spacing w:after="100" w:before="250"/>
      </w:pPr>
      <w:r>
        <w:rPr>
          <w:b/>
          <w:bCs/>
          <w:color w:val="1F3864"/>
          <w:sz w:val="25"/>
          <w:szCs w:val="25"/>
        </w:rPr>
        <w:t xml:space="preserve">Plan de Gestión de Riesgos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1. Propósito y metodología</w:t>
      </w:r>
    </w:p>
    <w:p>
      <w:pPr>
        <w:spacing w:after="120" w:line="274"/>
      </w:pPr>
      <w:r>
        <w:rPr>
          <w:sz w:val="21"/>
          <w:szCs w:val="21"/>
        </w:rPr>
        <w:t xml:space="preserve">Este plan establece cómo se identifican, analizan, priorizan, responden y controlan los riesgos del proyecto Befine Store. Dada la escala (equipo de tres personas, plazo fijo de 18 semanas), se usa un análisis cualitativo de probabilidad e impacto (Alta/Media/Baja) mediante matriz, revisado en cada Sprint Review. Cada riesgo se expresa en términos del objetivo del proyecto que podría verse afectado (Alcance, Cronograma, Costo o Calidad) y se documenta con su causa raíz, tipo (amenaza/oportunidad), estrategia y plan de respuesta.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2. Categorías de riesgo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Tecnología: integraciones con terceros y adopción del stack web.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Cronograma: plazo fijo no extensible, disponibilidad acotada del equipo.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Alcance: ampliación de alcance (scope creep) por solicitudes del negocio real.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Proveedores/Cliente: credenciales de terceros, disponibilidad del patrocinador, migración de datos.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3. Estrategias de respuesta</w:t>
      </w:r>
    </w:p>
    <w:p>
      <w:pPr>
        <w:spacing w:after="120" w:line="274"/>
      </w:pPr>
      <w:r>
        <w:rPr>
          <w:sz w:val="21"/>
          <w:szCs w:val="21"/>
        </w:rPr>
        <w:t xml:space="preserve">Para amenazas: Evitar, Mitigar, Transferir o Aceptar. Para oportunidades: Explotar, Mejorar, Compartir o Aceptar. Cuando la estrategia es Aceptar, el plan de respuesta se convierte en un plan de contingencia.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4. Registro de riesgos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00"/>
        <w:gridCol w:w="2760"/>
        <w:gridCol w:w="900"/>
        <w:gridCol w:w="900"/>
        <w:gridCol w:w="33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Nro</w:t>
            </w:r>
          </w:p>
        </w:tc>
        <w:tc>
          <w:tcPr>
            <w:tcW w:type="dxa" w:w="2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 (objetivo afectado)</w:t>
            </w:r>
          </w:p>
        </w:tc>
        <w:tc>
          <w:tcPr>
            <w:tcW w:type="dxa" w:w="9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9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 y plan de respuesta / Resp.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R1</w:t>
            </w:r>
          </w:p>
        </w:tc>
        <w:tc>
          <w:tcPr>
            <w:tcW w:type="dxa" w:w="2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Curva de integración HTML/JS ↔ SDK de Supabase (Cronograma/Calidad)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3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Mitigar: prototipo temprano de la integración y revisión cruzada de código (Carlos/Felipe)</w:t>
            </w:r>
          </w:p>
        </w:tc>
      </w:tr>
      <w:tr>
        <w:tc>
          <w:tcPr>
            <w:tcW w:type="dxa" w:w="5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R2</w:t>
            </w:r>
          </w:p>
        </w:tc>
        <w:tc>
          <w:tcPr>
            <w:tcW w:type="dxa" w:w="2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Integración OpenFactura demora por certificación SII (Cronograma)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Mitigar: sprint dedicado y temprano de validación en certificación (Carlos)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R3</w:t>
            </w:r>
          </w:p>
        </w:tc>
        <w:tc>
          <w:tcPr>
            <w:tcW w:type="dxa" w:w="2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Disponibilidad acotada del equipo (Cronograma)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3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Mitigar: sprints cortos, Kanban y control de avance semanal (Líder sprint)</w:t>
            </w:r>
          </w:p>
        </w:tc>
      </w:tr>
      <w:tr>
        <w:tc>
          <w:tcPr>
            <w:tcW w:type="dxa" w:w="5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R4</w:t>
            </w:r>
          </w:p>
        </w:tc>
        <w:tc>
          <w:tcPr>
            <w:tcW w:type="dxa" w:w="2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Scope creep por solicitudes del negocio (Alcance)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Evitar: MVP congelado; cambios vía Solicitud de Cambio validada por patrocinador (Iván)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R5</w:t>
            </w:r>
          </w:p>
        </w:tc>
        <w:tc>
          <w:tcPr>
            <w:tcW w:type="dxa" w:w="2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Retraso en credenciales de MP/OpenFactura (Cronograma)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Mitigar: solicitar sandbox y producción al inicio del sprint de integraciones (Carlos)</w:t>
            </w:r>
          </w:p>
        </w:tc>
      </w:tr>
      <w:tr>
        <w:tc>
          <w:tcPr>
            <w:tcW w:type="dxa" w:w="5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R6</w:t>
            </w:r>
          </w:p>
        </w:tc>
        <w:tc>
          <w:tcPr>
            <w:tcW w:type="dxa" w:w="2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Errores/pérdida en migración desde Shopify (Calidad)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3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Mitigar: migrar a ambiente de prueba y validar antes de la migración definitiva (Carlos)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R7</w:t>
            </w:r>
          </w:p>
        </w:tc>
        <w:tc>
          <w:tcPr>
            <w:tcW w:type="dxa" w:w="2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Limitaciones del plan gratuito de Supabase: pausa por inactividad y sin respaldo diario automático (Calidad)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Baja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Bajo</w:t>
            </w:r>
          </w:p>
        </w:tc>
        <w:tc>
          <w:tcPr>
            <w:tcW w:type="dxa" w:w="3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Mitigar: ping programado diario, respaldo manual semanal y monitoreo; evaluar plan Pro si el negocio crece (Carlos)</w:t>
            </w:r>
          </w:p>
        </w:tc>
      </w:tr>
      <w:tr>
        <w:tc>
          <w:tcPr>
            <w:tcW w:type="dxa" w:w="5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R8</w:t>
            </w:r>
          </w:p>
        </w:tc>
        <w:tc>
          <w:tcPr>
            <w:tcW w:type="dxa" w:w="2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Fallo de seguridad / acceso indebido a datos (Calidad)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Baja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Mitigar: RLS, HTTPS, pruebas de seguridad y Ley 21.719 (RNF-04, RNF-05) (Carlos)</w:t>
            </w:r>
          </w:p>
        </w:tc>
      </w:tr>
    </w:tbl>
    <w:p>
      <w:pPr>
        <w:spacing w:after="120" w:line="274"/>
      </w:pPr>
      <w:r>
        <w:rPr>
          <w:i/>
          <w:iCs/>
          <w:color w:val="595959"/>
          <w:sz w:val="19"/>
          <w:szCs w:val="19"/>
        </w:rPr>
        <w:t xml:space="preserve">El registro completo con las 13 columnas de la plantilla oficial se entrega en el Anexo — Registro de Riesgos (Excel). </w:t>
      </w:r>
      <w:r>
        <w:rPr>
          <w:i/>
          <w:iCs/>
          <w:color w:val="C00000"/>
          <w:sz w:val="19"/>
          <w:szCs w:val="19"/>
        </w:rPr>
        <w:t xml:space="preserve">(El anexo Excel debe reflejar el mismo ajuste de R1 conforme a la SC-02.)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5. Reserva de contingencia</w:t>
      </w:r>
    </w:p>
    <w:p>
      <w:pPr>
        <w:spacing w:after="120" w:line="274"/>
      </w:pPr>
      <w:r>
        <w:rPr>
          <w:sz w:val="21"/>
          <w:szCs w:val="21"/>
        </w:rPr>
        <w:t xml:space="preserve">La reserva de contingencia de riesgos coincide con la reserva presupuestaria del 15% ($66.365 CLP anuales) definida en el Plan de Gestión de Costos, destinada a ajustes de tarifas e imprevistos de certificación. Los riesgos de mayor impacto (R2, R4) son de integración y de alcance, y se mitigan con medidas de proceso (sprint de certificación dedicado, control de cambios) más que con reserva monetaria.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6. Revisión y control de riesgos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El registro se revisa en cada Sprint Review (cada 2 semanas), actualizando probabilidad, impacto y estado de mitigación.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Los riesgos de integración (R1, R2) tienen prioridad de tratamiento temprano: prototipo de integración con Supabase y sprint dedicado a OpenFactura antes del Go-Live.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Todo riesgo materializado que afecte el plazo fijo de 18 semanas se comunica de inmediato al patrocinador y, si corresponde, al docente guía, con su plan de respuesta.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7. Roles y responsabilidades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3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Líder de sprint vigente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Revisa el registro de riesgos en cada Sprint Review; escala riesgos materializados.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Responsable asignado por riesgo</w:t>
            </w:r>
          </w:p>
        </w:tc>
        <w:tc>
          <w:tcPr>
            <w:tcW w:type="dxa" w:w="63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Ejecuta la estrategia de mitigación definida para su riesgo.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Autoriza respuestas que impliquen cambios de alcance, costo o cronograma.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Riesgos</dc:title>
  <dc:creator>Plaxi Solutions</dc:creator>
  <cp:lastModifiedBy>Un-named</cp:lastModifiedBy>
  <cp:revision>1</cp:revision>
  <dcterms:created xsi:type="dcterms:W3CDTF">2026-09-23T01:15:45.294Z</dcterms:created>
  <dcterms:modified xsi:type="dcterms:W3CDTF">2026-09-23T01:15:45.294Z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