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95959"/>
          <w:sz w:val="17"/>
          <w:szCs w:val="17"/>
        </w:rPr>
        <w:t xml:space="preserve">Plaxi Solutions · Plan de Dirección del Proyecto — Befine Store</w:t>
      </w:r>
    </w:p>
    <w:p>
      <w:pPr>
        <w:pBdr>
          <w:bottom w:val="single" w:color="1F3864" w:sz="8"/>
        </w:pBdr>
        <w:spacing w:after="110"/>
      </w:pPr>
      <w:r>
        <w:t xml:space="preserve"/>
      </w:r>
    </w:p>
    <w:p>
      <w:pPr>
        <w:spacing w:after="30"/>
      </w:pPr>
      <w:r>
        <w:rPr>
          <w:b/>
          <w:bCs/>
          <w:color w:val="1F3864"/>
          <w:sz w:val="32"/>
          <w:szCs w:val="32"/>
        </w:rPr>
        <w:t xml:space="preserve">Plan de Gestión de las Adquisiciones</w:t>
      </w:r>
    </w:p>
    <w:p>
      <w:pPr>
        <w:spacing w:after="150"/>
      </w:pPr>
      <w:r>
        <w:rPr>
          <w:i/>
          <w:iCs/>
          <w:color w:val="595959"/>
          <w:sz w:val="19"/>
          <w:szCs w:val="19"/>
        </w:rPr>
        <w:t xml:space="preserve">Documento PLAN 09 — Versión 1.2 · 9 de octubre de 2026</w:t>
      </w:r>
    </w:p>
    <w:p>
      <w:pPr>
        <w:pStyle w:val="Heading2"/>
        <w:spacing w:after="80" w:before="190"/>
      </w:pPr>
      <w:r>
        <w:rPr>
          <w:b/>
          <w:bCs/>
          <w:color w:val="2E5496"/>
          <w:sz w:val="22"/>
          <w:szCs w:val="22"/>
        </w:rPr>
        <w:t xml:space="preserve">Información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Empresa / Organización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Befine Store — Plataforma de comercio electrónico propia para 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Fecha de preparación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23 de septiembre de 2026</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Cliente</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Agua Purificada Befine (representado por Iván Rodríguez)</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Patrocinador principal</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Iván Rodríguez (Dueño y Gerente General de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Gerente de 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Grupo N3 — liderazgo rotativo por sprint (Iván Rodríguez, Carlos Fuentes, Felipe Moraga)</w:t>
            </w:r>
          </w:p>
        </w:tc>
      </w:tr>
    </w:tbl>
    <w:p>
      <w:pPr>
        <w:pStyle w:val="Heading2"/>
        <w:spacing w:after="80" w:before="190"/>
      </w:pPr>
      <w:r>
        <w:rPr>
          <w:b/>
          <w:bCs/>
          <w:color w:val="2E5496"/>
          <w:sz w:val="22"/>
          <w:szCs w:val="22"/>
        </w:rPr>
        <w:t xml:space="preserve">Historial de versiones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1700"/>
        <w:gridCol w:w="2600"/>
        <w:gridCol w:w="37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Versión</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Autor</w:t>
            </w:r>
          </w:p>
        </w:tc>
        <w:tc>
          <w:tcPr>
            <w:tcW w:type="dxa" w:w="3760"/>
            <w:shd w:fill="1F3864" w:color="auto" w:val="clear"/>
            <w:tcMar>
              <w:top w:type="dxa" w:w="55"/>
              <w:left w:type="dxa" w:w="85"/>
              <w:bottom w:type="dxa" w:w="55"/>
              <w:right w:type="dxa" w:w="85"/>
            </w:tcMar>
          </w:tcPr>
          <w:p>
            <w:pPr>
              <w:spacing w:after="0" w:line="256"/>
            </w:pPr>
            <w:r>
              <w:rPr>
                <w:b/>
                <w:bCs/>
                <w:color w:val="FFFFFF"/>
                <w:sz w:val="19"/>
                <w:szCs w:val="19"/>
              </w:rPr>
              <w:t xml:space="preserve">Descripción</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1.0</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10 de septiembre de 2026</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FFFFF" w:color="auto" w:val="clear"/>
            <w:tcMar>
              <w:top w:type="dxa" w:w="55"/>
              <w:left w:type="dxa" w:w="85"/>
              <w:bottom w:type="dxa" w:w="55"/>
              <w:right w:type="dxa" w:w="85"/>
            </w:tcMar>
          </w:tcPr>
          <w:p>
            <w:pPr>
              <w:spacing w:after="0" w:line="256"/>
            </w:pPr>
            <w:r>
              <w:rPr>
                <w:color w:val="000000"/>
                <w:sz w:val="19"/>
                <w:szCs w:val="19"/>
              </w:rPr>
              <w:t xml:space="preserve">Emisión inicial para revisión del patrocinador</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1.1</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23 de septiembre de 2026</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Actualización por SC-02: la plataforma se construye con HTML/CSS/JS (antes Flutter); sin cambios en las adquisiciones (Supabase, Mercado Pago, OpenFactura, certificado).</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1.2</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9 de octubre de 2026</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Actualización por SC-04 (decisión del cliente): Supabase pasa al plan gratuito; se retira el costo de Supabase Pro de la línea base ($508.795 CLP/año) y se redefine RNF-06 sin porcentaje de disponibilidad comprometido.</w:t>
            </w:r>
          </w:p>
        </w:tc>
      </w:tr>
    </w:tbl>
    <w:p>
      <w:pPr>
        <w:pStyle w:val="Heading2"/>
        <w:spacing w:after="80" w:before="190"/>
      </w:pPr>
      <w:r>
        <w:rPr>
          <w:b/>
          <w:bCs/>
          <w:color w:val="2E5496"/>
          <w:sz w:val="22"/>
          <w:szCs w:val="22"/>
        </w:rPr>
        <w:t xml:space="preserve">Aprobaciones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560"/>
        <w:gridCol w:w="2600"/>
        <w:gridCol w:w="1700"/>
        <w:gridCol w:w="1500"/>
      </w:tblGrid>
      <w:tr>
        <w:trPr>
          <w:tblHeader/>
        </w:trPr>
        <w:tc>
          <w:tcPr>
            <w:tcW w:type="dxa" w:w="3560"/>
            <w:shd w:fill="1F3864" w:color="auto" w:val="clear"/>
            <w:tcMar>
              <w:top w:type="dxa" w:w="55"/>
              <w:left w:type="dxa" w:w="85"/>
              <w:bottom w:type="dxa" w:w="55"/>
              <w:right w:type="dxa" w:w="85"/>
            </w:tcMar>
          </w:tcPr>
          <w:p>
            <w:pPr>
              <w:spacing w:after="0" w:line="256"/>
            </w:pPr>
            <w:r>
              <w:rPr>
                <w:b/>
                <w:bCs/>
                <w:color w:val="FFFFFF"/>
                <w:sz w:val="19"/>
                <w:szCs w:val="19"/>
              </w:rPr>
              <w:t xml:space="preserve">Nombre</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Rol / Cargo</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Firma</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Patrocinador (Dueño de Befine)</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bl>
    <w:p>
      <w:pPr>
        <w:pStyle w:val="Heading1"/>
        <w:spacing w:after="100" w:before="250"/>
      </w:pPr>
      <w:r>
        <w:rPr>
          <w:b/>
          <w:bCs/>
          <w:color w:val="1F3864"/>
          <w:sz w:val="25"/>
          <w:szCs w:val="25"/>
        </w:rPr>
        <w:t xml:space="preserve">Plan de Gestión de las Adquisiciones</w:t>
      </w:r>
    </w:p>
    <w:p>
      <w:pPr>
        <w:pStyle w:val="Heading2"/>
        <w:spacing w:after="80" w:before="190"/>
      </w:pPr>
      <w:r>
        <w:rPr>
          <w:b/>
          <w:bCs/>
          <w:color w:val="2E5496"/>
          <w:sz w:val="22"/>
          <w:szCs w:val="22"/>
        </w:rPr>
        <w:t xml:space="preserve">1. Propósito y enfoque</w:t>
      </w:r>
    </w:p>
    <w:p>
      <w:pPr>
        <w:spacing w:after="120" w:line="274"/>
      </w:pPr>
      <w:r>
        <w:rPr>
          <w:sz w:val="21"/>
          <w:szCs w:val="21"/>
        </w:rPr>
        <w:t xml:space="preserve">Befine Store no requiere adquisiciones de desarrollo externo: el software lo construye íntegramente el equipo de Plaxi Solutions (Grupo N3) como trabajo de título. Las únicas adquisiciones son la contratación de servicios de terceros en modalidad de suscripción (SaaS) necesarios para operar la plataforma: procesamiento de pagos, facturación electrónica, certificación digital e infraestructura en la nube, todos financiados por el cliente.</w:t>
      </w:r>
    </w:p>
    <w:p>
      <w:pPr>
        <w:pStyle w:val="Heading2"/>
        <w:spacing w:after="80" w:before="190"/>
      </w:pPr>
      <w:r>
        <w:rPr>
          <w:b/>
          <w:bCs/>
          <w:color w:val="2E5496"/>
          <w:sz w:val="22"/>
          <w:szCs w:val="22"/>
        </w:rPr>
        <w:t xml:space="preserve">2. Decisión de hacer o comprar (make-or-buy)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1800"/>
        <w:gridCol w:w="4960"/>
      </w:tblGrid>
      <w:tr>
        <w:trPr>
          <w:tblHeader/>
        </w:trPr>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Componente</w:t>
            </w:r>
          </w:p>
        </w:tc>
        <w:tc>
          <w:tcPr>
            <w:tcW w:type="dxa" w:w="1800"/>
            <w:shd w:fill="1F3864" w:color="auto" w:val="clear"/>
            <w:tcMar>
              <w:top w:type="dxa" w:w="55"/>
              <w:left w:type="dxa" w:w="85"/>
              <w:bottom w:type="dxa" w:w="55"/>
              <w:right w:type="dxa" w:w="85"/>
            </w:tcMar>
          </w:tcPr>
          <w:p>
            <w:pPr>
              <w:spacing w:after="0" w:line="256"/>
            </w:pPr>
            <w:r>
              <w:rPr>
                <w:b/>
                <w:bCs/>
                <w:color w:val="FFFFFF"/>
                <w:sz w:val="19"/>
                <w:szCs w:val="19"/>
              </w:rPr>
              <w:t xml:space="preserve">Decisión</w:t>
            </w:r>
          </w:p>
        </w:tc>
        <w:tc>
          <w:tcPr>
            <w:tcW w:type="dxa" w:w="4960"/>
            <w:shd w:fill="1F3864" w:color="auto" w:val="clear"/>
            <w:tcMar>
              <w:top w:type="dxa" w:w="55"/>
              <w:left w:type="dxa" w:w="85"/>
              <w:bottom w:type="dxa" w:w="55"/>
              <w:right w:type="dxa" w:w="85"/>
            </w:tcMar>
          </w:tcPr>
          <w:p>
            <w:pPr>
              <w:spacing w:after="0" w:line="256"/>
            </w:pPr>
            <w:r>
              <w:rPr>
                <w:b/>
                <w:bCs/>
                <w:color w:val="FFFFFF"/>
                <w:sz w:val="19"/>
                <w:szCs w:val="19"/>
              </w:rPr>
              <w:t xml:space="preserve">Justificación</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Plataforma e-commerce</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Hacer (in-house)</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Es el objeto del proyecto de título; se construye con HTML5/CSS3/JavaScript y Supabase por el equipo.</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Procesamiento de pagos</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Comprar (Mercado Pago)</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Servicio regulado y estándar en Chile; inviable y fuera de alcance desarrollar una pasarela propia.</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Comprar (OpenFactura/Haulmer)</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Emitir DTE requiere certificación ante el SII; se usa un proveedor ya autorizado.</w:t>
            </w:r>
          </w:p>
        </w:tc>
      </w:tr>
      <w:tr>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Infraestructura backend</w:t>
            </w:r>
          </w:p>
        </w:tc>
        <w:tc>
          <w:tcPr>
            <w:tcW w:type="dxa" w:w="1800"/>
            <w:shd w:fill="F2F5FB" w:color="auto" w:val="clear"/>
            <w:tcMar>
              <w:top w:type="dxa" w:w="55"/>
              <w:left w:type="dxa" w:w="85"/>
              <w:bottom w:type="dxa" w:w="55"/>
              <w:right w:type="dxa" w:w="85"/>
            </w:tcMar>
          </w:tcPr>
          <w:p>
            <w:pPr>
              <w:spacing w:after="0" w:line="256"/>
            </w:pPr>
            <w:r>
              <w:rPr>
                <w:color w:val="000000"/>
                <w:sz w:val="19"/>
                <w:szCs w:val="19"/>
              </w:rPr>
              <w:t xml:space="preserve">Servicio gestionado (Supabase, plan gratuito)</w:t>
            </w:r>
          </w:p>
        </w:tc>
        <w:tc>
          <w:tcPr>
            <w:tcW w:type="dxa" w:w="4960"/>
            <w:shd w:fill="F2F5FB" w:color="auto" w:val="clear"/>
            <w:tcMar>
              <w:top w:type="dxa" w:w="55"/>
              <w:left w:type="dxa" w:w="85"/>
              <w:bottom w:type="dxa" w:w="55"/>
              <w:right w:type="dxa" w:w="85"/>
            </w:tcMar>
          </w:tcPr>
          <w:p>
            <w:pPr>
              <w:spacing w:after="0" w:line="256"/>
            </w:pPr>
            <w:r>
              <w:rPr>
                <w:color w:val="000000"/>
                <w:sz w:val="19"/>
                <w:szCs w:val="19"/>
              </w:rPr>
              <w:t xml:space="preserve">Evita construir y mantener base de datos, autenticación y funciones serverless propias.</w:t>
            </w:r>
          </w:p>
        </w:tc>
      </w:tr>
      <w:tr>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Certificado digital de firma</w:t>
            </w:r>
          </w:p>
        </w:tc>
        <w:tc>
          <w:tcPr>
            <w:tcW w:type="dxa" w:w="1800"/>
            <w:shd w:fill="FFFFFF" w:color="auto" w:val="clear"/>
            <w:tcMar>
              <w:top w:type="dxa" w:w="55"/>
              <w:left w:type="dxa" w:w="85"/>
              <w:bottom w:type="dxa" w:w="55"/>
              <w:right w:type="dxa" w:w="85"/>
            </w:tcMar>
          </w:tcPr>
          <w:p>
            <w:pPr>
              <w:spacing w:after="0" w:line="256"/>
            </w:pPr>
            <w:r>
              <w:rPr>
                <w:color w:val="000000"/>
                <w:sz w:val="19"/>
                <w:szCs w:val="19"/>
              </w:rPr>
              <w:t xml:space="preserve">Comprar (certificadora SII)</w:t>
            </w:r>
          </w:p>
        </w:tc>
        <w:tc>
          <w:tcPr>
            <w:tcW w:type="dxa" w:w="4960"/>
            <w:shd w:fill="FFFFFF" w:color="auto" w:val="clear"/>
            <w:tcMar>
              <w:top w:type="dxa" w:w="55"/>
              <w:left w:type="dxa" w:w="85"/>
              <w:bottom w:type="dxa" w:w="55"/>
              <w:right w:type="dxa" w:w="85"/>
            </w:tcMar>
          </w:tcPr>
          <w:p>
            <w:pPr>
              <w:spacing w:after="0" w:line="256"/>
            </w:pPr>
            <w:r>
              <w:rPr>
                <w:color w:val="000000"/>
                <w:sz w:val="19"/>
                <w:szCs w:val="19"/>
              </w:rPr>
              <w:t xml:space="preserve">Requisito legal para emitir DTE válidos; no puede autogenerarse.</w:t>
            </w:r>
          </w:p>
        </w:tc>
      </w:tr>
    </w:tbl>
    <w:p>
      <w:pPr>
        <w:pStyle w:val="Heading2"/>
        <w:spacing w:after="80" w:before="190"/>
      </w:pPr>
      <w:r>
        <w:rPr>
          <w:b/>
          <w:bCs/>
          <w:color w:val="2E5496"/>
          <w:sz w:val="22"/>
          <w:szCs w:val="22"/>
        </w:rPr>
        <w:t xml:space="preserve">3. Matriz de adquisiciones</w:t>
      </w:r>
    </w:p>
    <w:p>
      <w:pPr>
        <w:spacing w:after="120" w:line="274"/>
      </w:pPr>
      <w:r>
        <w:rPr>
          <w:sz w:val="21"/>
          <w:szCs w:val="21"/>
        </w:rPr>
        <w:t xml:space="preserve">Las adquisiciones se estructuran según la codificación de la EDT (Anexo A). Todos los proveedores son de precio fijo publicado (contratación directa), por lo que no aplica licitación ni evaluación comparativa de ofertas.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2400"/>
        <w:gridCol w:w="2400"/>
        <w:gridCol w:w="1500"/>
        <w:gridCol w:w="17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Cód. EDT</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Entregable EDT</w:t>
            </w:r>
          </w:p>
        </w:tc>
        <w:tc>
          <w:tcPr>
            <w:tcW w:type="dxa" w:w="2400"/>
            <w:shd w:fill="1F3864" w:color="auto" w:val="clear"/>
            <w:tcMar>
              <w:top w:type="dxa" w:w="55"/>
              <w:left w:type="dxa" w:w="85"/>
              <w:bottom w:type="dxa" w:w="55"/>
              <w:right w:type="dxa" w:w="85"/>
            </w:tcMar>
          </w:tcPr>
          <w:p>
            <w:pPr>
              <w:spacing w:after="0" w:line="256"/>
            </w:pPr>
            <w:r>
              <w:rPr>
                <w:b/>
                <w:bCs/>
                <w:color w:val="FFFFFF"/>
                <w:sz w:val="19"/>
                <w:szCs w:val="19"/>
              </w:rPr>
              <w:t xml:space="preserve">Adquisición</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Modalidad</w:t>
            </w:r>
          </w:p>
        </w:tc>
        <w:tc>
          <w:tcPr>
            <w:tcW w:type="dxa" w:w="1760"/>
            <w:shd w:fill="1F3864" w:color="auto" w:val="clear"/>
            <w:tcMar>
              <w:top w:type="dxa" w:w="55"/>
              <w:left w:type="dxa" w:w="85"/>
              <w:bottom w:type="dxa" w:w="55"/>
              <w:right w:type="dxa" w:w="85"/>
            </w:tcMar>
          </w:tcPr>
          <w:p>
            <w:pPr>
              <w:spacing w:after="0" w:line="256"/>
            </w:pPr>
            <w:r>
              <w:rPr>
                <w:b/>
                <w:bCs/>
                <w:color w:val="FFFFFF"/>
                <w:sz w:val="19"/>
                <w:szCs w:val="19"/>
              </w:rPr>
              <w:t xml:space="preserve">Presupuesto</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3.4</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Pagos en línea</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Mercado Pago</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Directa / Anual</w:t>
            </w:r>
          </w:p>
        </w:tc>
        <w:tc>
          <w:tcPr>
            <w:tcW w:type="dxa" w:w="1760"/>
            <w:shd w:fill="FFFFFF" w:color="auto" w:val="clear"/>
            <w:tcMar>
              <w:top w:type="dxa" w:w="55"/>
              <w:left w:type="dxa" w:w="85"/>
              <w:bottom w:type="dxa" w:w="55"/>
              <w:right w:type="dxa" w:w="85"/>
            </w:tcMar>
          </w:tcPr>
          <w:p>
            <w:pPr>
              <w:spacing w:after="0" w:line="256"/>
            </w:pPr>
            <w:r>
              <w:rPr>
                <w:color w:val="000000"/>
                <w:sz w:val="19"/>
                <w:szCs w:val="19"/>
              </w:rPr>
              <w:t xml:space="preserve">Comisión</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3.5</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OpenFactura plan Pyme</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Directa / Anual</w:t>
            </w:r>
          </w:p>
        </w:tc>
        <w:tc>
          <w:tcPr>
            <w:tcW w:type="dxa" w:w="1760"/>
            <w:shd w:fill="F2F5FB" w:color="auto" w:val="clear"/>
            <w:tcMar>
              <w:top w:type="dxa" w:w="55"/>
              <w:left w:type="dxa" w:w="85"/>
              <w:bottom w:type="dxa" w:w="55"/>
              <w:right w:type="dxa" w:w="85"/>
            </w:tcMar>
          </w:tcPr>
          <w:p>
            <w:pPr>
              <w:spacing w:after="0" w:line="256"/>
            </w:pPr>
            <w:r>
              <w:rPr>
                <w:color w:val="000000"/>
                <w:sz w:val="19"/>
                <w:szCs w:val="19"/>
              </w:rPr>
              <w:t xml:space="preserve">$428.400</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3.5</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Certificado digital SII</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Directa / 1 año</w:t>
            </w:r>
          </w:p>
        </w:tc>
        <w:tc>
          <w:tcPr>
            <w:tcW w:type="dxa" w:w="1760"/>
            <w:shd w:fill="FFFFFF" w:color="auto" w:val="clear"/>
            <w:tcMar>
              <w:top w:type="dxa" w:w="55"/>
              <w:left w:type="dxa" w:w="85"/>
              <w:bottom w:type="dxa" w:w="55"/>
              <w:right w:type="dxa" w:w="85"/>
            </w:tcMar>
          </w:tcPr>
          <w:p>
            <w:pPr>
              <w:spacing w:after="0" w:line="256"/>
            </w:pPr>
            <w:r>
              <w:rPr>
                <w:color w:val="000000"/>
                <w:sz w:val="19"/>
                <w:szCs w:val="19"/>
              </w:rPr>
              <w:t xml:space="preserve">$14.030</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5.2</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Infraestructura backend</w:t>
            </w:r>
          </w:p>
        </w:tc>
        <w:tc>
          <w:tcPr>
            <w:tcW w:type="dxa" w:w="2400"/>
            <w:shd w:fill="F2F5FB" w:color="auto" w:val="clear"/>
            <w:tcMar>
              <w:top w:type="dxa" w:w="55"/>
              <w:left w:type="dxa" w:w="85"/>
              <w:bottom w:type="dxa" w:w="55"/>
              <w:right w:type="dxa" w:w="85"/>
            </w:tcMar>
          </w:tcPr>
          <w:p>
            <w:pPr>
              <w:spacing w:after="0" w:line="256"/>
            </w:pPr>
            <w:r>
              <w:rPr>
                <w:color w:val="000000"/>
                <w:sz w:val="19"/>
                <w:szCs w:val="19"/>
              </w:rPr>
              <w:t xml:space="preserve">Supabase plan gratuito</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Sin costo (SC-04)</w:t>
            </w:r>
          </w:p>
        </w:tc>
        <w:tc>
          <w:tcPr>
            <w:tcW w:type="dxa" w:w="1760"/>
            <w:shd w:fill="F2F5FB" w:color="auto" w:val="clear"/>
            <w:tcMar>
              <w:top w:type="dxa" w:w="55"/>
              <w:left w:type="dxa" w:w="85"/>
              <w:bottom w:type="dxa" w:w="55"/>
              <w:right w:type="dxa" w:w="85"/>
            </w:tcMar>
          </w:tcPr>
          <w:p>
            <w:pPr>
              <w:spacing w:after="0" w:line="256"/>
            </w:pPr>
            <w:r>
              <w:rPr>
                <w:color w:val="000000"/>
                <w:sz w:val="19"/>
                <w:szCs w:val="19"/>
              </w:rPr>
              <w:t xml:space="preserve">$0</w:t>
            </w:r>
          </w:p>
        </w:tc>
      </w:tr>
      <w:tr>
        <w:tc>
          <w:tcPr>
            <w:tcW w:type="dxa" w:w="1300"/>
            <w:shd w:fill="FFFFFF" w:color="auto" w:val="clear"/>
            <w:tcMar>
              <w:top w:type="dxa" w:w="55"/>
              <w:left w:type="dxa" w:w="85"/>
              <w:bottom w:type="dxa" w:w="55"/>
              <w:right w:type="dxa" w:w="85"/>
            </w:tcMar>
          </w:tcPr>
          <w:p>
            <w:pPr>
              <w:spacing w:after="0" w:line="256"/>
            </w:pPr>
            <w:r>
              <w:rPr>
                <w:b/>
                <w:bCs/>
                <w:color w:val="000000"/>
                <w:sz w:val="19"/>
                <w:szCs w:val="19"/>
              </w:rPr>
              <w:t xml:space="preserve">Total adquisiciones (anual)</w:t>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24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
            </w:r>
          </w:p>
        </w:tc>
        <w:tc>
          <w:tcPr>
            <w:tcW w:type="dxa" w:w="1760"/>
            <w:shd w:fill="FFFFFF" w:color="auto" w:val="clear"/>
            <w:tcMar>
              <w:top w:type="dxa" w:w="55"/>
              <w:left w:type="dxa" w:w="85"/>
              <w:bottom w:type="dxa" w:w="55"/>
              <w:right w:type="dxa" w:w="85"/>
            </w:tcMar>
          </w:tcPr>
          <w:p>
            <w:pPr>
              <w:spacing w:after="0" w:line="256"/>
            </w:pPr>
            <w:r>
              <w:rPr>
                <w:b/>
                <w:bCs/>
                <w:color w:val="000000"/>
                <w:sz w:val="19"/>
                <w:szCs w:val="19"/>
              </w:rPr>
              <w:t xml:space="preserve">$442.430</w:t>
            </w:r>
          </w:p>
        </w:tc>
      </w:tr>
    </w:tbl>
    <w:p>
      <w:pPr>
        <w:pStyle w:val="Heading2"/>
        <w:spacing w:after="80" w:before="190"/>
      </w:pPr>
      <w:r>
        <w:rPr>
          <w:b/>
          <w:bCs/>
          <w:color w:val="2E5496"/>
          <w:sz w:val="22"/>
          <w:szCs w:val="22"/>
        </w:rPr>
        <w:t xml:space="preserve">4. Criterios de selección de proveedores</w:t>
      </w:r>
    </w:p>
    <w:p>
      <w:pPr>
        <w:pStyle w:val="ListParagraph"/>
        <w:numPr>
          <w:ilvl w:val="0"/>
          <w:numId w:val="1"/>
        </w:numPr>
        <w:spacing w:after="60" w:line="270"/>
      </w:pPr>
      <w:r>
        <w:rPr>
          <w:sz w:val="21"/>
          <w:szCs w:val="21"/>
        </w:rPr>
        <w:t xml:space="preserve">Cumplimiento normativo: OpenFactura y el certificador digital deben estar autorizados por el SII.</w:t>
      </w:r>
    </w:p>
    <w:p>
      <w:pPr>
        <w:pStyle w:val="ListParagraph"/>
        <w:numPr>
          <w:ilvl w:val="0"/>
          <w:numId w:val="1"/>
        </w:numPr>
        <w:spacing w:after="60" w:line="270"/>
      </w:pPr>
      <w:r>
        <w:rPr>
          <w:sz w:val="21"/>
          <w:szCs w:val="21"/>
        </w:rPr>
        <w:t xml:space="preserve">Continuidad del servicio: por decisión del cliente (SC-04) se utiliza el plan gratuito de Supabase; su pausa por inactividad se mitiga con un ping programado y el paso al plan Pro queda como opción si el negocio crece.</w:t>
      </w:r>
    </w:p>
    <w:p>
      <w:pPr>
        <w:pStyle w:val="ListParagraph"/>
        <w:numPr>
          <w:ilvl w:val="0"/>
          <w:numId w:val="1"/>
        </w:numPr>
        <w:spacing w:after="60" w:line="270"/>
      </w:pPr>
      <w:r>
        <w:rPr>
          <w:sz w:val="21"/>
          <w:szCs w:val="21"/>
        </w:rPr>
        <w:t xml:space="preserve">Costo accesible para una microempresa: planes de entrada (Pyme/Pro) acordes al tamaño de Befine.</w:t>
      </w:r>
    </w:p>
    <w:p>
      <w:pPr>
        <w:pStyle w:val="ListParagraph"/>
        <w:numPr>
          <w:ilvl w:val="0"/>
          <w:numId w:val="1"/>
        </w:numPr>
        <w:spacing w:after="60" w:line="270"/>
      </w:pPr>
      <w:r>
        <w:rPr>
          <w:sz w:val="21"/>
          <w:szCs w:val="21"/>
        </w:rPr>
        <w:t xml:space="preserve">Adopción de mercado: Mercado Pago es el medio de pago en línea más usado por microempresas en Chile.</w:t>
      </w:r>
    </w:p>
    <w:p>
      <w:pPr>
        <w:pStyle w:val="Heading2"/>
        <w:spacing w:after="80" w:before="190"/>
      </w:pPr>
      <w:r>
        <w:rPr>
          <w:b/>
          <w:bCs/>
          <w:color w:val="2E5496"/>
          <w:sz w:val="22"/>
          <w:szCs w:val="22"/>
        </w:rPr>
        <w:t xml:space="preserve">5. Gestión de proveedores</w:t>
      </w:r>
    </w:p>
    <w:p>
      <w:pPr>
        <w:pStyle w:val="ListParagraph"/>
        <w:numPr>
          <w:ilvl w:val="0"/>
          <w:numId w:val="1"/>
        </w:numPr>
        <w:spacing w:after="60" w:line="270"/>
      </w:pPr>
      <w:r>
        <w:rPr>
          <w:sz w:val="21"/>
          <w:szCs w:val="21"/>
        </w:rPr>
        <w:t xml:space="preserve">Obtener credenciales sandbox y de producción de Mercado Pago y OpenFactura al inicio del sprint de integraciones (mitiga el riesgo R5).</w:t>
      </w:r>
    </w:p>
    <w:p>
      <w:pPr>
        <w:pStyle w:val="ListParagraph"/>
        <w:numPr>
          <w:ilvl w:val="0"/>
          <w:numId w:val="1"/>
        </w:numPr>
        <w:spacing w:after="60" w:line="270"/>
      </w:pPr>
      <w:r>
        <w:rPr>
          <w:sz w:val="21"/>
          <w:szCs w:val="21"/>
        </w:rPr>
        <w:t xml:space="preserve">Validar OpenFactura en ambiente de certificación antes de habilitar la emisión real de DTE.</w:t>
      </w:r>
    </w:p>
    <w:p>
      <w:pPr>
        <w:pStyle w:val="ListParagraph"/>
        <w:numPr>
          <w:ilvl w:val="0"/>
          <w:numId w:val="1"/>
        </w:numPr>
        <w:spacing w:after="60" w:line="270"/>
      </w:pPr>
      <w:r>
        <w:rPr>
          <w:sz w:val="21"/>
          <w:szCs w:val="21"/>
        </w:rPr>
        <w:t xml:space="preserve">El patrocinador (Iván Rodríguez) formaliza la contratación y pago de cada suscripción, dado que las cuentas quedan a nombre de Agua Purificada Befine.</w:t>
      </w:r>
    </w:p>
    <w:p>
      <w:pPr>
        <w:pStyle w:val="Heading2"/>
        <w:spacing w:after="80" w:before="190"/>
      </w:pPr>
      <w:r>
        <w:rPr>
          <w:b/>
          <w:bCs/>
          <w:color w:val="2E5496"/>
          <w:sz w:val="22"/>
          <w:szCs w:val="22"/>
        </w:rPr>
        <w:t xml:space="preserve">6. Roles y responsabilidades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Responsabilidad</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Contrata y paga las suscripciones a nombre de Befine; gestiona la relación comercial.</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Gestiona la integración técnica con cada proveedor (API MP y OpenFactura, configuración Supabase).</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Equipo Grupo N3</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Valida en sandbox/certificación antes de solicitar la activación en producción.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las Adquisiciones</dc:title>
  <dc:creator>Plaxi Solutions</dc:creator>
  <cp:lastModifiedBy>Un-named</cp:lastModifiedBy>
  <cp:revision>1</cp:revision>
  <dcterms:created xsi:type="dcterms:W3CDTF">2026-09-23T01:15:45.307Z</dcterms:created>
  <dcterms:modified xsi:type="dcterms:W3CDTF">2026-09-23T01:15:45.307Z</dcterms:modified>
</cp:coreProperties>
</file>

<file path=docProps/custom.xml><?xml version="1.0" encoding="utf-8"?>
<Properties xmlns="http://schemas.openxmlformats.org/officeDocument/2006/custom-properties" xmlns:vt="http://schemas.openxmlformats.org/officeDocument/2006/docPropsVTypes"/>
</file>