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60" w:after="80"/>
      </w:pPr>
      <w:r>
        <w:rPr>
          <w:rFonts w:ascii="Calibri" w:hAnsi="Calibri" w:eastAsia="Calibri"/>
          <w:b/>
          <w:color w:val="2E74B5"/>
          <w:sz w:val="19"/>
        </w:rPr>
        <w:t>TECHNICAL REVIEW</w:t>
      </w:r>
    </w:p>
    <w:p>
      <w:pPr>
        <w:pStyle w:val="Title"/>
      </w:pPr>
      <w:r>
        <w:t>Hexfield_EQ vs. Strix</w:t>
      </w:r>
    </w:p>
    <w:p>
      <w:pPr>
        <w:pStyle w:val="Subtitle"/>
      </w:pPr>
      <w:r>
        <w:t>Architecture, search, training, and evaluation audit</w:t>
      </w:r>
    </w:p>
    <w:p>
      <w:pPr>
        <w:spacing w:after="40"/>
      </w:pPr>
      <w:r>
        <w:rPr>
          <w:rFonts w:ascii="Calibri" w:hAnsi="Calibri" w:eastAsia="Calibri"/>
          <w:b/>
          <w:color w:val="172A3A"/>
          <w:sz w:val="21"/>
        </w:rPr>
        <w:t xml:space="preserve">Prepared: </w:t>
      </w:r>
      <w:r>
        <w:rPr>
          <w:rFonts w:ascii="Calibri" w:hAnsi="Calibri" w:eastAsia="Calibri"/>
          <w:color w:val="000000"/>
          <w:sz w:val="21"/>
        </w:rPr>
        <w:t>July 12, 2026</w:t>
      </w:r>
    </w:p>
    <w:p>
      <w:pPr>
        <w:spacing w:after="40"/>
      </w:pPr>
      <w:r>
        <w:rPr>
          <w:rFonts w:ascii="Calibri" w:hAnsi="Calibri" w:eastAsia="Calibri"/>
          <w:b/>
          <w:color w:val="172A3A"/>
          <w:sz w:val="21"/>
        </w:rPr>
        <w:t xml:space="preserve">Scope: </w:t>
      </w:r>
      <w:r>
        <w:rPr>
          <w:rFonts w:ascii="Calibri" w:hAnsi="Calibri" w:eastAsia="Calibri"/>
          <w:color w:val="000000"/>
          <w:sz w:val="21"/>
        </w:rPr>
        <w:t>Finished Hexfield_EQ main-2 epoch 70 vs. production Strix anchor</w:t>
      </w:r>
    </w:p>
    <w:p>
      <w:pPr>
        <w:spacing w:after="40"/>
      </w:pPr>
      <w:r>
        <w:rPr>
          <w:rFonts w:ascii="Calibri" w:hAnsi="Calibri" w:eastAsia="Calibri"/>
          <w:b/>
          <w:color w:val="172A3A"/>
          <w:sz w:val="21"/>
        </w:rPr>
        <w:t xml:space="preserve">Method: </w:t>
      </w:r>
      <w:r>
        <w:rPr>
          <w:rFonts w:ascii="Calibri" w:hAnsi="Calibri" w:eastAsia="Calibri"/>
          <w:color w:val="000000"/>
          <w:sz w:val="21"/>
        </w:rPr>
        <w:t>Source inspection, CPU checkpoint metadata, persisted results, and CPU HXR replay</w:t>
      </w:r>
    </w:p>
    <w:p>
      <w:pPr>
        <w:spacing w:after="40"/>
      </w:pPr>
      <w:r>
        <w:rPr>
          <w:rFonts w:ascii="Calibri" w:hAnsi="Calibri" w:eastAsia="Calibri"/>
          <w:b/>
          <w:color w:val="172A3A"/>
          <w:sz w:val="21"/>
        </w:rPr>
        <w:t xml:space="preserve">Constraint: </w:t>
      </w:r>
      <w:r>
        <w:rPr>
          <w:rFonts w:ascii="Calibri" w:hAnsi="Calibri" w:eastAsia="Calibri"/>
          <w:color w:val="000000"/>
          <w:sz w:val="21"/>
        </w:rPr>
        <w:t>No GPU use; no neural model forward passes; no training; read-only investigation</w:t>
      </w:r>
    </w:p>
    <w:p>
      <w:pPr>
        <w:spacing w:after="40"/>
      </w:pPr>
      <w:r>
        <w:rPr>
          <w:rFonts w:ascii="Calibri" w:hAnsi="Calibri" w:eastAsia="Calibri"/>
          <w:b/>
          <w:color w:val="172A3A"/>
          <w:sz w:val="21"/>
        </w:rPr>
        <w:t xml:space="preserve">Status: </w:t>
      </w:r>
      <w:r>
        <w:rPr>
          <w:rFonts w:ascii="Calibri" w:hAnsi="Calibri" w:eastAsia="Calibri"/>
          <w:color w:val="000000"/>
          <w:sz w:val="21"/>
        </w:rPr>
        <w:t>Investigation complete; main-3 has no completed self-play strength result</w:t>
      </w:r>
    </w:p>
    <w:p>
      <w:pPr>
        <w:pStyle w:val="Callout"/>
        <w:spacing w:before="120" w:after="200" w:line="269" w:lineRule="auto"/>
        <w:ind w:left="230" w:right="115"/>
        <w:shd w:fill="E8EEF5" w:val="clear"/>
        <w:pBdr>
          <w:left w:val="single" w:sz="22" w:space="8" w:color="2E74B5"/>
        </w:pBdr>
      </w:pPr>
      <w:r>
        <w:rPr>
          <w:rFonts w:ascii="Calibri" w:hAnsi="Calibri" w:eastAsia="Calibri"/>
          <w:b/>
          <w:color w:val="2E74B5"/>
          <w:sz w:val="21"/>
        </w:rPr>
        <w:t xml:space="preserve">BOTTOM LINE  </w:t>
      </w:r>
      <w:r>
        <w:rPr>
          <w:rFonts w:ascii="Calibri" w:hAnsi="Calibri" w:eastAsia="Calibri"/>
          <w:color w:val="172A3A"/>
          <w:sz w:val="21"/>
        </w:rPr>
        <w:t>Strix is clearly stronger as a deployed bot, but the current approximately 206 Elo gap is not an architecture-only result. Strix combines an unusually efficient line-graph GNN, a more mature training lineage, a wider action radius, and a compiled multi-turn forcing solver that frequently bypasses ordinary 512-simulation search.</w:t>
      </w:r>
    </w:p>
    <w:p>
      <w:r>
        <w:rPr>
          <w:rFonts w:ascii="Calibri" w:hAnsi="Calibri" w:eastAsia="Calibri"/>
          <w:color w:val="000000"/>
          <w:sz w:val="22"/>
        </w:rPr>
        <w:t>The strongest Hexfield_EQ weaknesses are not lack of sophistication or lack of global context. They are an action-set restriction at radius 4, early compression of signed-distance information, expensive full-regular D6 channel allocation, a narrow final-only policy read, and an optimization regime that has shown persistent clipping and register-lane stress.</w:t>
      </w:r>
    </w:p>
    <w:p>
      <w:pPr>
        <w:pStyle w:val="Heading1"/>
      </w:pPr>
      <w:r>
        <w:t>Executive findings</w:t>
      </w:r>
    </w:p>
    <w:p>
      <w:pPr>
        <w:numPr>
          <w:ilvl w:val="0"/>
          <w:numId w:val="10"/>
        </w:numPr>
        <w:spacing w:after="160" w:line="280" w:lineRule="auto"/>
      </w:pPr>
      <w:r>
        <w:rPr>
          <w:rFonts w:ascii="Calibri" w:hAnsi="Calibri" w:eastAsia="Calibri"/>
          <w:b/>
          <w:color w:val="000000"/>
          <w:sz w:val="22"/>
        </w:rPr>
        <w:t xml:space="preserve">System gap is proven. </w:t>
      </w:r>
      <w:r>
        <w:rPr>
          <w:rFonts w:ascii="Calibri" w:hAnsi="Calibri" w:eastAsia="Calibri"/>
          <w:color w:val="000000"/>
          <w:sz w:val="22"/>
        </w:rPr>
        <w:t>Main-2 epoch 70 scored 15-49 in 64 paired games against Strix at nominally matched 512 visits/simulations and m=16. Direct score was 23.44%, or -205.6 Elo. [S1-S3]</w:t>
      </w:r>
    </w:p>
    <w:p>
      <w:pPr>
        <w:numPr>
          <w:ilvl w:val="0"/>
          <w:numId w:val="10"/>
        </w:numPr>
        <w:spacing w:after="160" w:line="280" w:lineRule="auto"/>
      </w:pPr>
      <w:r>
        <w:rPr>
          <w:rFonts w:ascii="Calibri" w:hAnsi="Calibri" w:eastAsia="Calibri"/>
          <w:b/>
          <w:color w:val="000000"/>
          <w:sz w:val="22"/>
        </w:rPr>
        <w:t xml:space="preserve">Architecture-only gap is not proven. </w:t>
      </w:r>
      <w:r>
        <w:rPr>
          <w:rFonts w:ascii="Calibri" w:hAnsi="Calibri" w:eastAsia="Calibri"/>
          <w:color w:val="000000"/>
          <w:sz w:val="22"/>
        </w:rPr>
        <w:t>CPU replay found Strix's forcing solver positive at 238 of 741 searched start-turn positions; the played Strix action matched the solver in 237 of 238 cases. [S4-S6]</w:t>
      </w:r>
    </w:p>
    <w:p>
      <w:pPr>
        <w:numPr>
          <w:ilvl w:val="0"/>
          <w:numId w:val="10"/>
        </w:numPr>
        <w:spacing w:after="160" w:line="280" w:lineRule="auto"/>
      </w:pPr>
      <w:r>
        <w:rPr>
          <w:rFonts w:ascii="Calibri" w:hAnsi="Calibri" w:eastAsia="Calibri"/>
          <w:b/>
          <w:color w:val="000000"/>
          <w:sz w:val="22"/>
        </w:rPr>
        <w:t xml:space="preserve">Strix wins through inductive bias, not parameter count. </w:t>
      </w:r>
      <w:r>
        <w:rPr>
          <w:rFonts w:ascii="Calibri" w:hAnsi="Calibri" w:eastAsia="Calibri"/>
          <w:color w:val="000000"/>
          <w:sz w:val="22"/>
        </w:rPr>
        <w:t>The production anchor has 283,970 trainable parameters versus 627,343 for Hexfield_EQ main-2. Strix preserves line geometry and signed distance on edges and gives its heads a 512-wide multi-depth JK representation. [S7-S9]</w:t>
      </w:r>
    </w:p>
    <w:p>
      <w:pPr>
        <w:numPr>
          <w:ilvl w:val="0"/>
          <w:numId w:val="10"/>
        </w:numPr>
        <w:spacing w:after="160" w:line="280" w:lineRule="auto"/>
      </w:pPr>
      <w:r>
        <w:rPr>
          <w:rFonts w:ascii="Calibri" w:hAnsi="Calibri" w:eastAsia="Calibri"/>
          <w:b/>
          <w:color w:val="000000"/>
          <w:sz w:val="22"/>
        </w:rPr>
        <w:t xml:space="preserve">Hexfield_EQ has genuine strengths. </w:t>
      </w:r>
      <w:r>
        <w:rPr>
          <w:rFonts w:ascii="Calibri" w:hAnsi="Calibri" w:eastAsia="Calibri"/>
          <w:color w:val="000000"/>
          <w:sz w:val="22"/>
        </w:rPr>
        <w:t>It provides exact D6 equivariance, richer typed features, global attention, blocker-aware ray information, and a learned counting lane. These should be retained while reducing representational and optimization bottlenecks. [S10-S14]</w:t>
      </w:r>
    </w:p>
    <w:p>
      <w:pPr>
        <w:numPr>
          <w:ilvl w:val="0"/>
          <w:numId w:val="10"/>
        </w:numPr>
        <w:spacing w:after="160" w:line="280" w:lineRule="auto"/>
      </w:pPr>
      <w:r>
        <w:rPr>
          <w:rFonts w:ascii="Calibri" w:hAnsi="Calibri" w:eastAsia="Calibri"/>
          <w:b/>
          <w:color w:val="000000"/>
          <w:sz w:val="22"/>
        </w:rPr>
        <w:t xml:space="preserve">The comparison is not maturity matched. </w:t>
      </w:r>
      <w:r>
        <w:rPr>
          <w:rFonts w:ascii="Calibri" w:hAnsi="Calibri" w:eastAsia="Calibri"/>
          <w:color w:val="000000"/>
          <w:sz w:val="22"/>
        </w:rPr>
        <w:t>Strix has about twice as many optimizer updates after including Hexfield prefit and roughly four times the nominal batch rows, plus a longer staged curriculum. The checkpoint's 237,000 train-step field is not directly comparable to Hexfield's optimizer-step counter. [S15-S17]</w:t>
      </w:r>
    </w:p>
    <w:p>
      <w:pPr>
        <w:pStyle w:val="Heading1"/>
      </w:pPr>
      <w:r>
        <w:t>Recommended decision</w:t>
      </w:r>
    </w:p>
    <w:p>
      <w:pPr>
        <w:pStyle w:val="Callout"/>
        <w:spacing w:before="120" w:after="200" w:line="269" w:lineRule="auto"/>
        <w:ind w:left="230" w:right="115"/>
        <w:shd w:fill="FFF4D6" w:val="clear"/>
        <w:pBdr>
          <w:left w:val="single" w:sz="22" w:space="8" w:color="9A6B00"/>
        </w:pBdr>
      </w:pPr>
      <w:r>
        <w:rPr>
          <w:rFonts w:ascii="Calibri" w:hAnsi="Calibri" w:eastAsia="Calibri"/>
          <w:b/>
          <w:color w:val="9A6B00"/>
          <w:sz w:val="21"/>
        </w:rPr>
        <w:t xml:space="preserve">PRIORITY  </w:t>
      </w:r>
      <w:r>
        <w:rPr>
          <w:rFonts w:ascii="Calibri" w:hAnsi="Calibri" w:eastAsia="Calibri"/>
          <w:color w:val="172A3A"/>
          <w:sz w:val="21"/>
        </w:rPr>
        <w:t>Do not redesign the entire Hexfield trunk based on the current -206 Elo number. First isolate the forcing solver, fix evaluation identity accounting, and run a solver-disabled network comparison. In parallel, the highest-value Hexfield changes are radius-6 action support, JK-style policy access, nonlinear distance-conditioned ray messages, and a normalized/stabilized register and loss regime.</w:t>
      </w:r>
    </w:p>
    <w:p>
      <w:pPr>
        <w:pStyle w:val="Heading1"/>
      </w:pPr>
      <w:r>
        <w:t>1. What the evaluation proves</w:t>
      </w:r>
    </w:p>
    <w:p>
      <w:r>
        <w:rPr>
          <w:rFonts w:ascii="Calibri" w:hAnsi="Calibri" w:eastAsia="Calibri"/>
          <w:color w:val="000000"/>
          <w:sz w:val="22"/>
        </w:rPr>
        <w:t>The direct paired arena demonstrates that the current Strix system is decisively stronger than finished Hexfield_EQ main-2. The arena controls seats and opening randomness well enough that the result is not plausibly explained by a simple first-player or opening-seed bias. It does not, however, hold search algorithms or tactical assistance constant.</w:t>
      </w:r>
    </w:p>
    <w:p>
      <w:pPr>
        <w:keepNext/>
        <w:spacing w:before="80" w:after="80"/>
      </w:pPr>
      <w:r>
        <w:rPr>
          <w:rFonts w:ascii="Calibri" w:hAnsi="Calibri" w:eastAsia="Calibri"/>
          <w:i/>
          <w:color w:val="5C6670"/>
          <w:sz w:val="18"/>
        </w:rPr>
        <w:t>Table 1. Selected persisted Strix edges. Each row used 64 scheduled games, 32 paired openings, 512 candidate visits, 512 Strix simulations, and m=16.</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1750"/>
        <w:gridCol w:w="1400"/>
        <w:gridCol w:w="1050"/>
        <w:gridCol w:w="1160"/>
        <w:gridCol w:w="4000"/>
      </w:tblGrid>
      <w:tr>
        <w:trPr>
          <w:cantSplit/>
          <w:tblHeader w:val="true"/>
          <w:cantSplit/>
          <w:tblHeader w:val="true"/>
        </w:trPr>
        <w:tc>
          <w:tcPr>
            <w:tcW w:type="dxa" w:w="175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8"/>
              </w:rPr>
              <w:t>Checkpoint</w:t>
            </w:r>
          </w:p>
        </w:tc>
        <w:tc>
          <w:tcPr>
            <w:tcW w:type="dxa" w:w="1400"/>
            <w:tcMar>
              <w:top w:w="80" w:type="dxa"/>
              <w:start w:w="120" w:type="dxa"/>
              <w:bottom w:w="80" w:type="dxa"/>
              <w:end w:w="120" w:type="dxa"/>
            </w:tcMar>
            <w:vAlign w:val="center"/>
            <w:shd w:fill="F2F4F7" w:val="clear"/>
          </w:tcPr>
          <w:p>
            <w:pPr>
              <w:pStyle w:val="TableHeader"/>
              <w:jc w:val="center"/>
            </w:pPr>
            <w:r>
              <w:rPr>
                <w:rFonts w:ascii="Calibri" w:hAnsi="Calibri" w:eastAsia="Calibri"/>
                <w:b/>
                <w:color w:val="172A3A"/>
                <w:sz w:val="18"/>
              </w:rPr>
              <w:t>Candidate W-L</w:t>
            </w:r>
          </w:p>
        </w:tc>
        <w:tc>
          <w:tcPr>
            <w:tcW w:type="dxa" w:w="1050"/>
            <w:tcMar>
              <w:top w:w="80" w:type="dxa"/>
              <w:start w:w="120" w:type="dxa"/>
              <w:bottom w:w="80" w:type="dxa"/>
              <w:end w:w="120" w:type="dxa"/>
            </w:tcMar>
            <w:vAlign w:val="center"/>
            <w:shd w:fill="F2F4F7" w:val="clear"/>
          </w:tcPr>
          <w:p>
            <w:pPr>
              <w:pStyle w:val="TableHeader"/>
              <w:jc w:val="center"/>
            </w:pPr>
            <w:r>
              <w:rPr>
                <w:rFonts w:ascii="Calibri" w:hAnsi="Calibri" w:eastAsia="Calibri"/>
                <w:b/>
                <w:color w:val="172A3A"/>
                <w:sz w:val="18"/>
              </w:rPr>
              <w:t>Score</w:t>
            </w:r>
          </w:p>
        </w:tc>
        <w:tc>
          <w:tcPr>
            <w:tcW w:type="dxa" w:w="1160"/>
            <w:tcMar>
              <w:top w:w="80" w:type="dxa"/>
              <w:start w:w="120" w:type="dxa"/>
              <w:bottom w:w="80" w:type="dxa"/>
              <w:end w:w="120" w:type="dxa"/>
            </w:tcMar>
            <w:vAlign w:val="center"/>
            <w:shd w:fill="F2F4F7" w:val="clear"/>
          </w:tcPr>
          <w:p>
            <w:pPr>
              <w:pStyle w:val="TableHeader"/>
              <w:jc w:val="center"/>
            </w:pPr>
            <w:r>
              <w:rPr>
                <w:rFonts w:ascii="Calibri" w:hAnsi="Calibri" w:eastAsia="Calibri"/>
                <w:b/>
                <w:color w:val="172A3A"/>
                <w:sz w:val="18"/>
              </w:rPr>
              <w:t>Direct Elo</w:t>
            </w:r>
          </w:p>
        </w:tc>
        <w:tc>
          <w:tcPr>
            <w:tcW w:type="dxa" w:w="400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8"/>
              </w:rPr>
              <w:t>Interpretation</w:t>
            </w:r>
          </w:p>
        </w:tc>
      </w:tr>
      <w:tr>
        <w:trPr>
          <w:cantSplit/>
        </w:trPr>
        <w:tc>
          <w:tcPr>
            <w:tcW w:type="dxa" w:w="1750"/>
            <w:tcMar>
              <w:top w:w="80" w:type="dxa"/>
              <w:start w:w="120" w:type="dxa"/>
              <w:bottom w:w="80" w:type="dxa"/>
              <w:end w:w="120" w:type="dxa"/>
            </w:tcMar>
            <w:vAlign w:val="center"/>
          </w:tcPr>
          <w:p>
            <w:pPr>
              <w:pStyle w:val="TableText"/>
              <w:jc w:val="left"/>
            </w:pPr>
            <w:r>
              <w:rPr>
                <w:rFonts w:ascii="Calibri" w:hAnsi="Calibri" w:eastAsia="Calibri"/>
                <w:color w:val="000000"/>
                <w:sz w:val="18"/>
              </w:rPr>
              <w:t>main-1 ep20</w:t>
            </w:r>
          </w:p>
        </w:tc>
        <w:tc>
          <w:tcPr>
            <w:tcW w:type="dxa" w:w="1400"/>
            <w:tcMar>
              <w:top w:w="80" w:type="dxa"/>
              <w:start w:w="120" w:type="dxa"/>
              <w:bottom w:w="80" w:type="dxa"/>
              <w:end w:w="120" w:type="dxa"/>
            </w:tcMar>
            <w:vAlign w:val="center"/>
          </w:tcPr>
          <w:p>
            <w:pPr>
              <w:pStyle w:val="TableText"/>
              <w:jc w:val="center"/>
            </w:pPr>
            <w:r>
              <w:rPr>
                <w:rFonts w:ascii="Calibri" w:hAnsi="Calibri" w:eastAsia="Calibri"/>
                <w:color w:val="000000"/>
                <w:sz w:val="18"/>
              </w:rPr>
              <w:t>6-58</w:t>
            </w:r>
          </w:p>
        </w:tc>
        <w:tc>
          <w:tcPr>
            <w:tcW w:type="dxa" w:w="1050"/>
            <w:tcMar>
              <w:top w:w="80" w:type="dxa"/>
              <w:start w:w="120" w:type="dxa"/>
              <w:bottom w:w="80" w:type="dxa"/>
              <w:end w:w="120" w:type="dxa"/>
            </w:tcMar>
            <w:vAlign w:val="center"/>
          </w:tcPr>
          <w:p>
            <w:pPr>
              <w:pStyle w:val="TableText"/>
              <w:jc w:val="center"/>
            </w:pPr>
            <w:r>
              <w:rPr>
                <w:rFonts w:ascii="Calibri" w:hAnsi="Calibri" w:eastAsia="Calibri"/>
                <w:color w:val="000000"/>
                <w:sz w:val="18"/>
              </w:rPr>
              <w:t>9.38%</w:t>
            </w:r>
          </w:p>
        </w:tc>
        <w:tc>
          <w:tcPr>
            <w:tcW w:type="dxa" w:w="1160"/>
            <w:tcMar>
              <w:top w:w="80" w:type="dxa"/>
              <w:start w:w="120" w:type="dxa"/>
              <w:bottom w:w="80" w:type="dxa"/>
              <w:end w:w="120" w:type="dxa"/>
            </w:tcMar>
            <w:vAlign w:val="center"/>
          </w:tcPr>
          <w:p>
            <w:pPr>
              <w:pStyle w:val="TableText"/>
              <w:jc w:val="center"/>
            </w:pPr>
            <w:r>
              <w:rPr>
                <w:rFonts w:ascii="Calibri" w:hAnsi="Calibri" w:eastAsia="Calibri"/>
                <w:color w:val="000000"/>
                <w:sz w:val="18"/>
              </w:rPr>
              <w:t>-394</w:t>
            </w:r>
          </w:p>
        </w:tc>
        <w:tc>
          <w:tcPr>
            <w:tcW w:type="dxa" w:w="4000"/>
            <w:tcMar>
              <w:top w:w="80" w:type="dxa"/>
              <w:start w:w="120" w:type="dxa"/>
              <w:bottom w:w="80" w:type="dxa"/>
              <w:end w:w="120" w:type="dxa"/>
            </w:tcMar>
            <w:vAlign w:val="center"/>
          </w:tcPr>
          <w:p>
            <w:pPr>
              <w:pStyle w:val="TableText"/>
              <w:jc w:val="left"/>
            </w:pPr>
            <w:r>
              <w:rPr>
                <w:rFonts w:ascii="Calibri" w:hAnsi="Calibri" w:eastAsia="Calibri"/>
                <w:color w:val="000000"/>
                <w:sz w:val="18"/>
              </w:rPr>
              <w:t>Regression from main-1 ep5</w:t>
            </w:r>
          </w:p>
        </w:tc>
      </w:tr>
      <w:tr>
        <w:trPr>
          <w:cantSplit/>
        </w:trPr>
        <w:tc>
          <w:tcPr>
            <w:tcW w:type="dxa" w:w="17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main-2 ep55</w:t>
            </w:r>
          </w:p>
        </w:tc>
        <w:tc>
          <w:tcPr>
            <w:tcW w:type="dxa" w:w="140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7-57</w:t>
            </w:r>
          </w:p>
        </w:tc>
        <w:tc>
          <w:tcPr>
            <w:tcW w:type="dxa" w:w="10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10.94%</w:t>
            </w:r>
          </w:p>
        </w:tc>
        <w:tc>
          <w:tcPr>
            <w:tcW w:type="dxa" w:w="116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-364</w:t>
            </w:r>
          </w:p>
        </w:tc>
        <w:tc>
          <w:tcPr>
            <w:tcW w:type="dxa" w:w="40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Before latest recovery</w:t>
            </w:r>
          </w:p>
        </w:tc>
      </w:tr>
      <w:tr>
        <w:trPr>
          <w:cantSplit/>
        </w:trPr>
        <w:tc>
          <w:tcPr>
            <w:tcW w:type="dxa" w:w="1750"/>
            <w:tcMar>
              <w:top w:w="80" w:type="dxa"/>
              <w:start w:w="120" w:type="dxa"/>
              <w:bottom w:w="80" w:type="dxa"/>
              <w:end w:w="120" w:type="dxa"/>
            </w:tcMar>
            <w:vAlign w:val="center"/>
          </w:tcPr>
          <w:p>
            <w:pPr>
              <w:pStyle w:val="TableText"/>
              <w:jc w:val="left"/>
            </w:pPr>
            <w:r>
              <w:rPr>
                <w:rFonts w:ascii="Calibri" w:hAnsi="Calibri" w:eastAsia="Calibri"/>
                <w:color w:val="000000"/>
                <w:sz w:val="18"/>
              </w:rPr>
              <w:t>main-2 ep60</w:t>
            </w:r>
          </w:p>
        </w:tc>
        <w:tc>
          <w:tcPr>
            <w:tcW w:type="dxa" w:w="1400"/>
            <w:tcMar>
              <w:top w:w="80" w:type="dxa"/>
              <w:start w:w="120" w:type="dxa"/>
              <w:bottom w:w="80" w:type="dxa"/>
              <w:end w:w="120" w:type="dxa"/>
            </w:tcMar>
            <w:vAlign w:val="center"/>
          </w:tcPr>
          <w:p>
            <w:pPr>
              <w:pStyle w:val="TableText"/>
              <w:jc w:val="center"/>
            </w:pPr>
            <w:r>
              <w:rPr>
                <w:rFonts w:ascii="Calibri" w:hAnsi="Calibri" w:eastAsia="Calibri"/>
                <w:color w:val="000000"/>
                <w:sz w:val="18"/>
              </w:rPr>
              <w:t>10-54</w:t>
            </w:r>
          </w:p>
        </w:tc>
        <w:tc>
          <w:tcPr>
            <w:tcW w:type="dxa" w:w="1050"/>
            <w:tcMar>
              <w:top w:w="80" w:type="dxa"/>
              <w:start w:w="120" w:type="dxa"/>
              <w:bottom w:w="80" w:type="dxa"/>
              <w:end w:w="120" w:type="dxa"/>
            </w:tcMar>
            <w:vAlign w:val="center"/>
          </w:tcPr>
          <w:p>
            <w:pPr>
              <w:pStyle w:val="TableText"/>
              <w:jc w:val="center"/>
            </w:pPr>
            <w:r>
              <w:rPr>
                <w:rFonts w:ascii="Calibri" w:hAnsi="Calibri" w:eastAsia="Calibri"/>
                <w:color w:val="000000"/>
                <w:sz w:val="18"/>
              </w:rPr>
              <w:t>15.62%</w:t>
            </w:r>
          </w:p>
        </w:tc>
        <w:tc>
          <w:tcPr>
            <w:tcW w:type="dxa" w:w="1160"/>
            <w:tcMar>
              <w:top w:w="80" w:type="dxa"/>
              <w:start w:w="120" w:type="dxa"/>
              <w:bottom w:w="80" w:type="dxa"/>
              <w:end w:w="120" w:type="dxa"/>
            </w:tcMar>
            <w:vAlign w:val="center"/>
          </w:tcPr>
          <w:p>
            <w:pPr>
              <w:pStyle w:val="TableText"/>
              <w:jc w:val="center"/>
            </w:pPr>
            <w:r>
              <w:rPr>
                <w:rFonts w:ascii="Calibri" w:hAnsi="Calibri" w:eastAsia="Calibri"/>
                <w:color w:val="000000"/>
                <w:sz w:val="18"/>
              </w:rPr>
              <w:t>-293</w:t>
            </w:r>
          </w:p>
        </w:tc>
        <w:tc>
          <w:tcPr>
            <w:tcW w:type="dxa" w:w="4000"/>
            <w:tcMar>
              <w:top w:w="80" w:type="dxa"/>
              <w:start w:w="120" w:type="dxa"/>
              <w:bottom w:w="80" w:type="dxa"/>
              <w:end w:w="120" w:type="dxa"/>
            </w:tcMar>
            <w:vAlign w:val="center"/>
          </w:tcPr>
          <w:p>
            <w:pPr>
              <w:pStyle w:val="TableText"/>
              <w:jc w:val="left"/>
            </w:pPr>
            <w:r>
              <w:rPr>
                <w:rFonts w:ascii="Calibri" w:hAnsi="Calibri" w:eastAsia="Calibri"/>
                <w:color w:val="000000"/>
                <w:sz w:val="18"/>
              </w:rPr>
              <w:t>Recovery begins</w:t>
            </w:r>
          </w:p>
        </w:tc>
      </w:tr>
      <w:tr>
        <w:trPr>
          <w:cantSplit/>
        </w:trPr>
        <w:tc>
          <w:tcPr>
            <w:tcW w:type="dxa" w:w="17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main-2 ep65</w:t>
            </w:r>
          </w:p>
        </w:tc>
        <w:tc>
          <w:tcPr>
            <w:tcW w:type="dxa" w:w="140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12-52</w:t>
            </w:r>
          </w:p>
        </w:tc>
        <w:tc>
          <w:tcPr>
            <w:tcW w:type="dxa" w:w="10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18.75%</w:t>
            </w:r>
          </w:p>
        </w:tc>
        <w:tc>
          <w:tcPr>
            <w:tcW w:type="dxa" w:w="116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-255</w:t>
            </w:r>
          </w:p>
        </w:tc>
        <w:tc>
          <w:tcPr>
            <w:tcW w:type="dxa" w:w="40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Continued improvement</w:t>
            </w:r>
          </w:p>
        </w:tc>
      </w:tr>
      <w:tr>
        <w:trPr>
          <w:cantSplit/>
        </w:trPr>
        <w:tc>
          <w:tcPr>
            <w:tcW w:type="dxa" w:w="1750"/>
            <w:tcMar>
              <w:top w:w="80" w:type="dxa"/>
              <w:start w:w="120" w:type="dxa"/>
              <w:bottom w:w="80" w:type="dxa"/>
              <w:end w:w="120" w:type="dxa"/>
            </w:tcMar>
            <w:vAlign w:val="center"/>
          </w:tcPr>
          <w:p>
            <w:pPr>
              <w:pStyle w:val="TableText"/>
              <w:jc w:val="left"/>
            </w:pPr>
            <w:r>
              <w:rPr>
                <w:rFonts w:ascii="Calibri" w:hAnsi="Calibri" w:eastAsia="Calibri"/>
                <w:color w:val="000000"/>
                <w:sz w:val="18"/>
              </w:rPr>
              <w:t>main-2 ep70</w:t>
            </w:r>
          </w:p>
        </w:tc>
        <w:tc>
          <w:tcPr>
            <w:tcW w:type="dxa" w:w="1400"/>
            <w:tcMar>
              <w:top w:w="80" w:type="dxa"/>
              <w:start w:w="120" w:type="dxa"/>
              <w:bottom w:w="80" w:type="dxa"/>
              <w:end w:w="120" w:type="dxa"/>
            </w:tcMar>
            <w:vAlign w:val="center"/>
          </w:tcPr>
          <w:p>
            <w:pPr>
              <w:pStyle w:val="TableText"/>
              <w:jc w:val="center"/>
            </w:pPr>
            <w:r>
              <w:rPr>
                <w:rFonts w:ascii="Calibri" w:hAnsi="Calibri" w:eastAsia="Calibri"/>
                <w:color w:val="000000"/>
                <w:sz w:val="18"/>
              </w:rPr>
              <w:t>15-49</w:t>
            </w:r>
          </w:p>
        </w:tc>
        <w:tc>
          <w:tcPr>
            <w:tcW w:type="dxa" w:w="1050"/>
            <w:tcMar>
              <w:top w:w="80" w:type="dxa"/>
              <w:start w:w="120" w:type="dxa"/>
              <w:bottom w:w="80" w:type="dxa"/>
              <w:end w:w="120" w:type="dxa"/>
            </w:tcMar>
            <w:vAlign w:val="center"/>
          </w:tcPr>
          <w:p>
            <w:pPr>
              <w:pStyle w:val="TableText"/>
              <w:jc w:val="center"/>
            </w:pPr>
            <w:r>
              <w:rPr>
                <w:rFonts w:ascii="Calibri" w:hAnsi="Calibri" w:eastAsia="Calibri"/>
                <w:color w:val="000000"/>
                <w:sz w:val="18"/>
              </w:rPr>
              <w:t>23.44%</w:t>
            </w:r>
          </w:p>
        </w:tc>
        <w:tc>
          <w:tcPr>
            <w:tcW w:type="dxa" w:w="1160"/>
            <w:tcMar>
              <w:top w:w="80" w:type="dxa"/>
              <w:start w:w="120" w:type="dxa"/>
              <w:bottom w:w="80" w:type="dxa"/>
              <w:end w:w="120" w:type="dxa"/>
            </w:tcMar>
            <w:vAlign w:val="center"/>
          </w:tcPr>
          <w:p>
            <w:pPr>
              <w:pStyle w:val="TableText"/>
              <w:jc w:val="center"/>
            </w:pPr>
            <w:r>
              <w:rPr>
                <w:rFonts w:ascii="Calibri" w:hAnsi="Calibri" w:eastAsia="Calibri"/>
                <w:color w:val="000000"/>
                <w:sz w:val="18"/>
              </w:rPr>
              <w:t>-205.6</w:t>
            </w:r>
          </w:p>
        </w:tc>
        <w:tc>
          <w:tcPr>
            <w:tcW w:type="dxa" w:w="4000"/>
            <w:tcMar>
              <w:top w:w="80" w:type="dxa"/>
              <w:start w:w="120" w:type="dxa"/>
              <w:bottom w:w="80" w:type="dxa"/>
              <w:end w:w="120" w:type="dxa"/>
            </w:tcMar>
            <w:vAlign w:val="center"/>
          </w:tcPr>
          <w:p>
            <w:pPr>
              <w:pStyle w:val="TableText"/>
              <w:jc w:val="left"/>
            </w:pPr>
            <w:r>
              <w:rPr>
                <w:rFonts w:ascii="Calibri" w:hAnsi="Calibri" w:eastAsia="Calibri"/>
                <w:color w:val="000000"/>
                <w:sz w:val="18"/>
              </w:rPr>
              <w:t>Latest finished direct edge</w:t>
            </w:r>
          </w:p>
        </w:tc>
      </w:tr>
    </w:tbl>
    <w:p>
      <w:pPr>
        <w:pStyle w:val="SourceText"/>
        <w:spacing w:before="80" w:after="160"/>
      </w:pPr>
      <w:r>
        <w:rPr>
          <w:rFonts w:ascii="Calibri" w:hAnsi="Calibri" w:eastAsia="Calibri"/>
          <w:i/>
          <w:color w:val="5C6670"/>
          <w:sz w:val="17"/>
        </w:rPr>
        <w:t>Source: persisted multistage artifacts [S1-S2]. The epoch-70 paired score interval is 14.65%-32.22%, approximately -306 to -129 Elo.</w:t>
      </w:r>
    </w:p>
    <w:p>
      <w:pPr>
        <w:pStyle w:val="Heading2"/>
      </w:pPr>
      <w:r>
        <w:t>Controls that are sound</w:t>
      </w:r>
    </w:p>
    <w:p>
      <w:pPr>
        <w:numPr>
          <w:ilvl w:val="0"/>
          <w:numId w:val="10"/>
        </w:numPr>
        <w:spacing w:after="160" w:line="280" w:lineRule="auto"/>
      </w:pPr>
      <w:r>
        <w:rPr>
          <w:rFonts w:ascii="Calibri" w:hAnsi="Calibri" w:eastAsia="Calibri"/>
          <w:color w:val="000000"/>
          <w:sz w:val="22"/>
        </w:rPr>
        <w:t>Nominal search budgets match: candidate full_search_visits=512, Strix n_simulations=512, and m_actions=16. Candidate c_visit=50 and c_scale=1 match the Strix defaults. [S3]</w:t>
      </w:r>
    </w:p>
    <w:p>
      <w:pPr>
        <w:numPr>
          <w:ilvl w:val="0"/>
          <w:numId w:val="10"/>
        </w:numPr>
        <w:spacing w:after="160" w:line="280" w:lineRule="auto"/>
      </w:pPr>
      <w:r>
        <w:rPr>
          <w:rFonts w:ascii="Calibri" w:hAnsi="Calibri" w:eastAsia="Calibri"/>
          <w:color w:val="000000"/>
          <w:sz w:val="22"/>
        </w:rPr>
        <w:t>Each opening is played twice with seats swapped. The follower game replays the leader's first eight plies before both sides continue greedily. [S2]</w:t>
      </w:r>
    </w:p>
    <w:p>
      <w:pPr>
        <w:numPr>
          <w:ilvl w:val="0"/>
          <w:numId w:val="10"/>
        </w:numPr>
        <w:spacing w:after="160" w:line="280" w:lineRule="auto"/>
      </w:pPr>
      <w:r>
        <w:rPr>
          <w:rFonts w:ascii="Calibri" w:hAnsi="Calibri" w:eastAsia="Calibri"/>
          <w:color w:val="000000"/>
          <w:sz w:val="22"/>
        </w:rPr>
        <w:t>Seeds are spaced by epoch, and completed artifacts report no Strix substitution. [S1-S3]</w:t>
      </w:r>
    </w:p>
    <w:p>
      <w:pPr>
        <w:numPr>
          <w:ilvl w:val="0"/>
          <w:numId w:val="10"/>
        </w:numPr>
        <w:spacing w:after="160" w:line="280" w:lineRule="auto"/>
      </w:pPr>
      <w:r>
        <w:rPr>
          <w:rFonts w:ascii="Calibri" w:hAnsi="Calibri" w:eastAsia="Calibri"/>
          <w:color w:val="000000"/>
          <w:sz w:val="22"/>
        </w:rPr>
        <w:t>The latest 15-49 direct score is not affected by the pooled-rating label bug described below.</w:t>
      </w:r>
    </w:p>
    <w:p>
      <w:pPr>
        <w:pStyle w:val="Heading2"/>
      </w:pPr>
      <w:r>
        <w:t>Limitations and evaluation defects</w:t>
      </w:r>
    </w:p>
    <w:p>
      <w:pPr>
        <w:numPr>
          <w:ilvl w:val="0"/>
          <w:numId w:val="12"/>
        </w:numPr>
        <w:spacing w:after="160" w:line="280" w:lineRule="auto"/>
      </w:pPr>
      <w:r>
        <w:rPr>
          <w:rFonts w:ascii="Calibri" w:hAnsi="Calibri" w:eastAsia="Calibri"/>
          <w:b/>
          <w:color w:val="172A3A"/>
          <w:sz w:val="22"/>
        </w:rPr>
        <w:t xml:space="preserve">Equal simulations are not equal systems. </w:t>
      </w:r>
      <w:r>
        <w:rPr>
          <w:rFonts w:ascii="Calibri" w:hAnsi="Calibri" w:eastAsia="Calibri"/>
          <w:color w:val="000000"/>
          <w:sz w:val="22"/>
        </w:rPr>
        <w:t>Strix's native search contains an automatic forcing proof that can return before MCTS, while Hexfield_EQ receives a shallower tactical candidate guard.</w:t>
      </w:r>
    </w:p>
    <w:p>
      <w:pPr>
        <w:numPr>
          <w:ilvl w:val="0"/>
          <w:numId w:val="12"/>
        </w:numPr>
        <w:spacing w:after="160" w:line="280" w:lineRule="auto"/>
      </w:pPr>
      <w:r>
        <w:rPr>
          <w:rFonts w:ascii="Calibri" w:hAnsi="Calibri" w:eastAsia="Calibri"/>
          <w:b/>
          <w:color w:val="172A3A"/>
          <w:sz w:val="22"/>
        </w:rPr>
        <w:t xml:space="preserve">Pooled identities fragment identical checkpoints. </w:t>
      </w:r>
      <w:r>
        <w:rPr>
          <w:rFonts w:ascii="Calibri" w:hAnsi="Calibri" w:eastAsia="Calibri"/>
          <w:color w:val="000000"/>
          <w:sz w:val="22"/>
        </w:rPr>
        <w:t>A checkpoint can appear as cand_epN and later as epN. Bradley-Terry aggregation keys by label, so identical weights are split into different players. Treat pooled -233 Elo as secondary; use the direct 15-49 edge. [S18]</w:t>
      </w:r>
    </w:p>
    <w:p>
      <w:pPr>
        <w:numPr>
          <w:ilvl w:val="0"/>
          <w:numId w:val="12"/>
        </w:numPr>
        <w:spacing w:after="160" w:line="280" w:lineRule="auto"/>
      </w:pPr>
      <w:r>
        <w:rPr>
          <w:rFonts w:ascii="Calibri" w:hAnsi="Calibri" w:eastAsia="Calibri"/>
          <w:b/>
          <w:color w:val="172A3A"/>
          <w:sz w:val="22"/>
        </w:rPr>
        <w:t xml:space="preserve">One partial pair was imputed. </w:t>
      </w:r>
      <w:r>
        <w:rPr>
          <w:rFonts w:ascii="Calibri" w:hAnsi="Calibri" w:eastAsia="Calibri"/>
          <w:color w:val="000000"/>
          <w:sz w:val="22"/>
        </w:rPr>
        <w:t>Main-2 epoch 10 physically decided 63 games, but pair conversion effectively records 64 by adding one Strix win. The aggregate impact is tiny but the accounting should be corrected. [S18]</w:t>
      </w:r>
    </w:p>
    <w:p>
      <w:pPr>
        <w:numPr>
          <w:ilvl w:val="0"/>
          <w:numId w:val="12"/>
        </w:numPr>
        <w:spacing w:after="160" w:line="280" w:lineRule="auto"/>
      </w:pPr>
      <w:r>
        <w:rPr>
          <w:rFonts w:ascii="Calibri" w:hAnsi="Calibri" w:eastAsia="Calibri"/>
          <w:b/>
          <w:color w:val="172A3A"/>
          <w:sz w:val="22"/>
        </w:rPr>
        <w:t xml:space="preserve">Openings are paired but endogenous. </w:t>
      </w:r>
      <w:r>
        <w:rPr>
          <w:rFonts w:ascii="Calibri" w:hAnsi="Calibri" w:eastAsia="Calibri"/>
          <w:color w:val="000000"/>
          <w:sz w:val="22"/>
        </w:rPr>
        <w:t>The leader always has the candidate as player 0; both bots jointly generate the first eight plies, which are then replayed with colors swapped. This is balanced, but not a neutral pre-generated book. Direction of bias is unknown. [S2]</w:t>
      </w:r>
    </w:p>
    <w:p>
      <w:pPr>
        <w:pStyle w:val="Heading1"/>
      </w:pPr>
      <w:r>
        <w:t>2. The critical search-system confound</w:t>
      </w:r>
    </w:p>
    <w:p>
      <w:pPr>
        <w:pStyle w:val="Callout"/>
        <w:spacing w:before="120" w:after="200" w:line="269" w:lineRule="auto"/>
        <w:ind w:left="230" w:right="115"/>
        <w:shd w:fill="FBEAEC" w:val="clear"/>
        <w:pBdr>
          <w:left w:val="single" w:sz="22" w:space="8" w:color="9B1C1C"/>
        </w:pBdr>
      </w:pPr>
      <w:r>
        <w:rPr>
          <w:rFonts w:ascii="Calibri" w:hAnsi="Calibri" w:eastAsia="Calibri"/>
          <w:b/>
          <w:color w:val="9B1C1C"/>
          <w:sz w:val="21"/>
        </w:rPr>
        <w:t xml:space="preserve">VERIFIED  </w:t>
      </w:r>
      <w:r>
        <w:rPr>
          <w:rFonts w:ascii="Calibri" w:hAnsi="Calibri" w:eastAsia="Calibri"/>
          <w:color w:val="172A3A"/>
          <w:sz w:val="21"/>
        </w:rPr>
        <w:t>The vendored Strix Rust search includes a whole-board, multi-turn forcing solver. At start-of-turn roots it can prove a line, return a one-hot move, and skip sequential halving and normal neural search. This is a tactical oracle layered on top of the GNN and Gumbel MCTS.</w:t>
      </w:r>
    </w:p>
    <w:p>
      <w:pPr>
        <w:pStyle w:val="Heading2"/>
      </w:pPr>
      <w:r>
        <w:t>What Strix receives</w:t>
      </w:r>
    </w:p>
    <w:p>
      <w:r>
        <w:rPr>
          <w:rFonts w:ascii="Calibri" w:hAnsi="Calibri" w:eastAsia="Calibri"/>
          <w:color w:val="000000"/>
          <w:sz w:val="22"/>
        </w:rPr>
        <w:t>Static binary inspection found forcing::solve and forced-candidate diagnostics in the vendored wheel. The build-era source associated with the artifact runs an immediate-win phase and then a bounded forcing proof at the start of a two-placement turn. The corresponding source uses a six-attacker-turn depth cap and 2,000-node budget. If a proof succeeds, the search returns a one-hot first move. [S4-S6]</w:t>
      </w:r>
    </w:p>
    <w:p>
      <w:r>
        <w:rPr>
          <w:rFonts w:ascii="Calibri" w:hAnsi="Calibri" w:eastAsia="Calibri"/>
          <w:color w:val="000000"/>
          <w:sz w:val="22"/>
        </w:rPr>
        <w:t>Wheel provenance is weaker than it should be: the package is versioned only 0.1.0 and the rebuild instructions clone moving main without checking out a commit. The exact constants are therefore highly supported by build-era source and replay behavior, but not cryptographically recorded inside the wheel. [S6]</w:t>
      </w:r>
    </w:p>
    <w:p>
      <w:pPr>
        <w:pStyle w:val="Heading2"/>
      </w:pPr>
      <w:r>
        <w:t>CPU replay evidence</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4500"/>
        <w:gridCol w:w="1850"/>
        <w:gridCol w:w="1450"/>
        <w:gridCol w:w="1560"/>
      </w:tblGrid>
      <w:tr>
        <w:trPr>
          <w:cantSplit/>
          <w:tblHeader w:val="true"/>
          <w:cantSplit/>
          <w:tblHeader w:val="true"/>
        </w:trPr>
        <w:tc>
          <w:tcPr>
            <w:tcW w:type="dxa" w:w="4500"/>
            <w:tcMar>
              <w:top w:w="80" w:type="dxa"/>
              <w:start w:w="120" w:type="dxa"/>
              <w:bottom w:w="80" w:type="dxa"/>
              <w:end w:w="120" w:type="dxa"/>
            </w:tcMar>
            <w:vAlign w:val="center"/>
            <w:shd w:fill="FBEAEC" w:val="clear"/>
          </w:tcPr>
          <w:p>
            <w:pPr>
              <w:pStyle w:val="TableHeader"/>
              <w:jc w:val="left"/>
            </w:pPr>
            <w:r>
              <w:rPr>
                <w:rFonts w:ascii="Calibri" w:hAnsi="Calibri" w:eastAsia="Calibri"/>
                <w:b/>
                <w:color w:val="172A3A"/>
                <w:sz w:val="18"/>
              </w:rPr>
              <w:t>Replay measurement</w:t>
            </w:r>
          </w:p>
        </w:tc>
        <w:tc>
          <w:tcPr>
            <w:tcW w:type="dxa" w:w="1850"/>
            <w:tcMar>
              <w:top w:w="80" w:type="dxa"/>
              <w:start w:w="120" w:type="dxa"/>
              <w:bottom w:w="80" w:type="dxa"/>
              <w:end w:w="120" w:type="dxa"/>
            </w:tcMar>
            <w:vAlign w:val="center"/>
            <w:shd w:fill="FBEAEC" w:val="clear"/>
          </w:tcPr>
          <w:p>
            <w:pPr>
              <w:pStyle w:val="TableHeader"/>
              <w:jc w:val="center"/>
            </w:pPr>
            <w:r>
              <w:rPr>
                <w:rFonts w:ascii="Calibri" w:hAnsi="Calibri" w:eastAsia="Calibri"/>
                <w:b/>
                <w:color w:val="172A3A"/>
                <w:sz w:val="18"/>
              </w:rPr>
              <w:t>Denominator</w:t>
            </w:r>
          </w:p>
        </w:tc>
        <w:tc>
          <w:tcPr>
            <w:tcW w:type="dxa" w:w="1450"/>
            <w:tcMar>
              <w:top w:w="80" w:type="dxa"/>
              <w:start w:w="120" w:type="dxa"/>
              <w:bottom w:w="80" w:type="dxa"/>
              <w:end w:w="120" w:type="dxa"/>
            </w:tcMar>
            <w:vAlign w:val="center"/>
            <w:shd w:fill="FBEAEC" w:val="clear"/>
          </w:tcPr>
          <w:p>
            <w:pPr>
              <w:pStyle w:val="TableHeader"/>
              <w:jc w:val="center"/>
            </w:pPr>
            <w:r>
              <w:rPr>
                <w:rFonts w:ascii="Calibri" w:hAnsi="Calibri" w:eastAsia="Calibri"/>
                <w:b/>
                <w:color w:val="172A3A"/>
                <w:sz w:val="18"/>
              </w:rPr>
              <w:t>Count</w:t>
            </w:r>
          </w:p>
        </w:tc>
        <w:tc>
          <w:tcPr>
            <w:tcW w:type="dxa" w:w="1560"/>
            <w:tcMar>
              <w:top w:w="80" w:type="dxa"/>
              <w:start w:w="120" w:type="dxa"/>
              <w:bottom w:w="80" w:type="dxa"/>
              <w:end w:w="120" w:type="dxa"/>
            </w:tcMar>
            <w:vAlign w:val="center"/>
            <w:shd w:fill="FBEAEC" w:val="clear"/>
          </w:tcPr>
          <w:p>
            <w:pPr>
              <w:pStyle w:val="TableHeader"/>
              <w:jc w:val="center"/>
            </w:pPr>
            <w:r>
              <w:rPr>
                <w:rFonts w:ascii="Calibri" w:hAnsi="Calibri" w:eastAsia="Calibri"/>
                <w:b/>
                <w:color w:val="172A3A"/>
                <w:sz w:val="18"/>
              </w:rPr>
              <w:t>Rate</w:t>
            </w:r>
          </w:p>
        </w:tc>
      </w:tr>
      <w:tr>
        <w:trPr>
          <w:cantSplit/>
        </w:trPr>
        <w:tc>
          <w:tcPr>
            <w:tcW w:type="dxa" w:w="4500"/>
            <w:tcMar>
              <w:top w:w="80" w:type="dxa"/>
              <w:start w:w="120" w:type="dxa"/>
              <w:bottom w:w="80" w:type="dxa"/>
              <w:end w:w="120" w:type="dxa"/>
            </w:tcMar>
            <w:vAlign w:val="center"/>
          </w:tcPr>
          <w:p>
            <w:pPr>
              <w:pStyle w:val="TableText"/>
              <w:jc w:val="left"/>
            </w:pPr>
            <w:r>
              <w:rPr>
                <w:rFonts w:ascii="Calibri" w:hAnsi="Calibri" w:eastAsia="Calibri"/>
                <w:color w:val="000000"/>
                <w:sz w:val="18"/>
              </w:rPr>
              <w:t>Strix searched start-turn positions</w:t>
            </w:r>
          </w:p>
        </w:tc>
        <w:tc>
          <w:tcPr>
            <w:tcW w:type="dxa" w:w="1850"/>
            <w:tcMar>
              <w:top w:w="80" w:type="dxa"/>
              <w:start w:w="120" w:type="dxa"/>
              <w:bottom w:w="80" w:type="dxa"/>
              <w:end w:w="120" w:type="dxa"/>
            </w:tcMar>
            <w:vAlign w:val="center"/>
          </w:tcPr>
          <w:p>
            <w:pPr>
              <w:pStyle w:val="TableText"/>
              <w:jc w:val="center"/>
            </w:pPr>
            <w:r>
              <w:rPr>
                <w:rFonts w:ascii="Calibri" w:hAnsi="Calibri" w:eastAsia="Calibri"/>
                <w:color w:val="000000"/>
                <w:sz w:val="18"/>
              </w:rPr>
              <w:t>741</w:t>
            </w:r>
          </w:p>
        </w:tc>
        <w:tc>
          <w:tcPr>
            <w:tcW w:type="dxa" w:w="1450"/>
            <w:tcMar>
              <w:top w:w="80" w:type="dxa"/>
              <w:start w:w="120" w:type="dxa"/>
              <w:bottom w:w="80" w:type="dxa"/>
              <w:end w:w="120" w:type="dxa"/>
            </w:tcMar>
            <w:vAlign w:val="center"/>
          </w:tcPr>
          <w:p>
            <w:pPr>
              <w:pStyle w:val="TableText"/>
              <w:jc w:val="center"/>
            </w:pPr>
            <w:r>
              <w:rPr>
                <w:rFonts w:ascii="Calibri" w:hAnsi="Calibri" w:eastAsia="Calibri"/>
                <w:color w:val="000000"/>
                <w:sz w:val="18"/>
              </w:rPr>
              <w:t>238</w:t>
            </w:r>
          </w:p>
        </w:tc>
        <w:tc>
          <w:tcPr>
            <w:tcW w:type="dxa" w:w="1560"/>
            <w:tcMar>
              <w:top w:w="80" w:type="dxa"/>
              <w:start w:w="120" w:type="dxa"/>
              <w:bottom w:w="80" w:type="dxa"/>
              <w:end w:w="120" w:type="dxa"/>
            </w:tcMar>
            <w:vAlign w:val="center"/>
          </w:tcPr>
          <w:p>
            <w:pPr>
              <w:pStyle w:val="TableText"/>
              <w:jc w:val="center"/>
            </w:pPr>
            <w:r>
              <w:rPr>
                <w:rFonts w:ascii="Calibri" w:hAnsi="Calibri" w:eastAsia="Calibri"/>
                <w:color w:val="000000"/>
                <w:sz w:val="18"/>
              </w:rPr>
              <w:t>32.1%</w:t>
            </w:r>
          </w:p>
        </w:tc>
      </w:tr>
      <w:tr>
        <w:trPr>
          <w:cantSplit/>
        </w:trPr>
        <w:tc>
          <w:tcPr>
            <w:tcW w:type="dxa" w:w="45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Recorded Strix move matches solver</w:t>
            </w:r>
          </w:p>
        </w:tc>
        <w:tc>
          <w:tcPr>
            <w:tcW w:type="dxa" w:w="18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238 positive</w:t>
            </w:r>
          </w:p>
        </w:tc>
        <w:tc>
          <w:tcPr>
            <w:tcW w:type="dxa" w:w="14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237</w:t>
            </w:r>
          </w:p>
        </w:tc>
        <w:tc>
          <w:tcPr>
            <w:tcW w:type="dxa" w:w="156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99.6%</w:t>
            </w:r>
          </w:p>
        </w:tc>
      </w:tr>
      <w:tr>
        <w:trPr>
          <w:cantSplit/>
        </w:trPr>
        <w:tc>
          <w:tcPr>
            <w:tcW w:type="dxa" w:w="4500"/>
            <w:tcMar>
              <w:top w:w="80" w:type="dxa"/>
              <w:start w:w="120" w:type="dxa"/>
              <w:bottom w:w="80" w:type="dxa"/>
              <w:end w:w="120" w:type="dxa"/>
            </w:tcMar>
            <w:vAlign w:val="center"/>
          </w:tcPr>
          <w:p>
            <w:pPr>
              <w:pStyle w:val="TableText"/>
              <w:jc w:val="left"/>
            </w:pPr>
            <w:r>
              <w:rPr>
                <w:rFonts w:ascii="Calibri" w:hAnsi="Calibri" w:eastAsia="Calibri"/>
                <w:color w:val="000000"/>
                <w:sz w:val="18"/>
              </w:rPr>
              <w:t>Candidate searched start-turn positions</w:t>
            </w:r>
          </w:p>
        </w:tc>
        <w:tc>
          <w:tcPr>
            <w:tcW w:type="dxa" w:w="1850"/>
            <w:tcMar>
              <w:top w:w="80" w:type="dxa"/>
              <w:start w:w="120" w:type="dxa"/>
              <w:bottom w:w="80" w:type="dxa"/>
              <w:end w:w="120" w:type="dxa"/>
            </w:tcMar>
            <w:vAlign w:val="center"/>
          </w:tcPr>
          <w:p>
            <w:pPr>
              <w:pStyle w:val="TableText"/>
              <w:jc w:val="center"/>
            </w:pPr>
            <w:r>
              <w:rPr>
                <w:rFonts w:ascii="Calibri" w:hAnsi="Calibri" w:eastAsia="Calibri"/>
                <w:color w:val="000000"/>
                <w:sz w:val="18"/>
              </w:rPr>
              <w:t>724</w:t>
            </w:r>
          </w:p>
        </w:tc>
        <w:tc>
          <w:tcPr>
            <w:tcW w:type="dxa" w:w="1450"/>
            <w:tcMar>
              <w:top w:w="80" w:type="dxa"/>
              <w:start w:w="120" w:type="dxa"/>
              <w:bottom w:w="80" w:type="dxa"/>
              <w:end w:w="120" w:type="dxa"/>
            </w:tcMar>
            <w:vAlign w:val="center"/>
          </w:tcPr>
          <w:p>
            <w:pPr>
              <w:pStyle w:val="TableText"/>
              <w:jc w:val="center"/>
            </w:pPr>
            <w:r>
              <w:rPr>
                <w:rFonts w:ascii="Calibri" w:hAnsi="Calibri" w:eastAsia="Calibri"/>
                <w:color w:val="000000"/>
                <w:sz w:val="18"/>
              </w:rPr>
              <w:t>75</w:t>
            </w:r>
          </w:p>
        </w:tc>
        <w:tc>
          <w:tcPr>
            <w:tcW w:type="dxa" w:w="1560"/>
            <w:tcMar>
              <w:top w:w="80" w:type="dxa"/>
              <w:start w:w="120" w:type="dxa"/>
              <w:bottom w:w="80" w:type="dxa"/>
              <w:end w:w="120" w:type="dxa"/>
            </w:tcMar>
            <w:vAlign w:val="center"/>
          </w:tcPr>
          <w:p>
            <w:pPr>
              <w:pStyle w:val="TableText"/>
              <w:jc w:val="center"/>
            </w:pPr>
            <w:r>
              <w:rPr>
                <w:rFonts w:ascii="Calibri" w:hAnsi="Calibri" w:eastAsia="Calibri"/>
                <w:color w:val="000000"/>
                <w:sz w:val="18"/>
              </w:rPr>
              <w:t>10.4%</w:t>
            </w:r>
          </w:p>
        </w:tc>
      </w:tr>
      <w:tr>
        <w:trPr>
          <w:cantSplit/>
        </w:trPr>
        <w:tc>
          <w:tcPr>
            <w:tcW w:type="dxa" w:w="45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Candidate move matches solver</w:t>
            </w:r>
          </w:p>
        </w:tc>
        <w:tc>
          <w:tcPr>
            <w:tcW w:type="dxa" w:w="18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75 positive</w:t>
            </w:r>
          </w:p>
        </w:tc>
        <w:tc>
          <w:tcPr>
            <w:tcW w:type="dxa" w:w="14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28</w:t>
            </w:r>
          </w:p>
        </w:tc>
        <w:tc>
          <w:tcPr>
            <w:tcW w:type="dxa" w:w="156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8"/>
              </w:rPr>
              <w:t>37.3%</w:t>
            </w:r>
          </w:p>
        </w:tc>
      </w:tr>
    </w:tbl>
    <w:p>
      <w:pPr>
        <w:pStyle w:val="SourceText"/>
        <w:spacing w:before="80"/>
      </w:pPr>
      <w:r>
        <w:rPr>
          <w:rFonts w:ascii="Calibri" w:hAnsi="Calibri" w:eastAsia="Calibri"/>
          <w:i/>
          <w:color w:val="5C6670"/>
          <w:sz w:val="17"/>
        </w:rPr>
        <w:t>Source: CPU replay of epoch-70 HXR using the exposed forcing solver; no neural model inference. [S19]</w:t>
      </w:r>
    </w:p>
    <w:p>
      <w:pPr>
        <w:pStyle w:val="Heading2"/>
      </w:pPr>
      <w:r>
        <w:t>What Hexfield_EQ receives</w:t>
      </w:r>
    </w:p>
    <w:p>
      <w:r>
        <w:rPr>
          <w:rFonts w:ascii="Calibri" w:hAnsi="Calibri" w:eastAsia="Calibri"/>
          <w:color w:val="000000"/>
          <w:sz w:val="22"/>
        </w:rPr>
        <w:t>Hexfield_EQ is not solver-free. Its checked-in Rust threat logic finds immediate wins, immediate blocks, and phase-aware one-turn forced-loss defenses and injects those cells into the search. The difference is depth and authority: Strix's solver can prove multi-turn fully forcing sequences over the whole board and bypass the network, while Hexfield's tactical guard mainly protects immediate and one-turn candidates. [S20-S21]</w:t>
      </w:r>
    </w:p>
    <w:p>
      <w:pPr>
        <w:pStyle w:val="Heading2"/>
      </w:pPr>
      <w:r>
        <w:t>Interpretation</w:t>
      </w:r>
    </w:p>
    <w:p>
      <w:r>
        <w:rPr>
          <w:rFonts w:ascii="Calibri" w:hAnsi="Calibri" w:eastAsia="Calibri"/>
          <w:color w:val="000000"/>
          <w:sz w:val="22"/>
        </w:rPr>
        <w:t>The -205.6 Elo result is valid for the deployed bots. It cannot be assigned wholly to GINE versus equivariant ray-attention architecture. The replay shows that a large fraction of Strix root decisions followed the forcing solver exactly, but it does not measure how many of those moves ordinary Strix MCTS would also have found. A solver-disabled ablation is required to quantify the contribution.</w:t>
      </w:r>
    </w:p>
    <w:p>
      <w:pPr>
        <w:pStyle w:val="Heading1"/>
      </w:pPr>
      <w:r>
        <w:t>3. Architectural comparison</w:t>
      </w:r>
    </w:p>
    <w:p>
      <w:pPr>
        <w:keepNext/>
        <w:spacing w:before="80" w:after="80"/>
      </w:pPr>
      <w:r>
        <w:rPr>
          <w:rFonts w:ascii="Calibri" w:hAnsi="Calibri" w:eastAsia="Calibri"/>
          <w:i/>
          <w:color w:val="5C6670"/>
          <w:sz w:val="18"/>
        </w:rPr>
        <w:t>Table 2. Finished production comparison: Strix anchor checkpoint_00237000.pt versus Hexfield_EQ main-2 epoch 70.</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2100"/>
        <w:gridCol w:w="3600"/>
        <w:gridCol w:w="3660"/>
      </w:tblGrid>
      <w:tr>
        <w:trPr>
          <w:cantSplit/>
          <w:tblHeader w:val="true"/>
          <w:cantSplit/>
          <w:tblHeader w:val="true"/>
        </w:trPr>
        <w:tc>
          <w:tcPr>
            <w:tcW w:type="dxa" w:w="210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Dimension</w:t>
            </w:r>
          </w:p>
        </w:tc>
        <w:tc>
          <w:tcPr>
            <w:tcW w:type="dxa" w:w="360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Strix</w:t>
            </w:r>
          </w:p>
        </w:tc>
        <w:tc>
          <w:tcPr>
            <w:tcW w:type="dxa" w:w="366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Hexfield_EQ main-2</w:t>
            </w:r>
          </w:p>
        </w:tc>
      </w:tr>
      <w:tr>
        <w:trPr>
          <w:cantSplit/>
        </w:trPr>
        <w:tc>
          <w:tcPr>
            <w:tcW w:type="dxa" w:w="2100"/>
            <w:tcMar>
              <w:top w:w="80" w:type="dxa"/>
              <w:start w:w="120" w:type="dxa"/>
              <w:bottom w:w="80" w:type="dxa"/>
              <w:end w:w="120" w:type="dxa"/>
            </w:tcMar>
            <w:vAlign w:val="center"/>
          </w:tcPr>
          <w:p>
            <w:pPr>
              <w:pStyle w:val="TableText"/>
              <w:jc w:val="left"/>
            </w:pPr>
            <w:r>
              <w:rPr>
                <w:rFonts w:ascii="Calibri" w:hAnsi="Calibri" w:eastAsia="Calibri"/>
                <w:color w:val="000000"/>
                <w:sz w:val="17"/>
              </w:rPr>
              <w:t>Trainable parameters</w:t>
            </w:r>
          </w:p>
        </w:tc>
        <w:tc>
          <w:tcPr>
            <w:tcW w:type="dxa" w:w="3600"/>
            <w:tcMar>
              <w:top w:w="80" w:type="dxa"/>
              <w:start w:w="120" w:type="dxa"/>
              <w:bottom w:w="80" w:type="dxa"/>
              <w:end w:w="120" w:type="dxa"/>
            </w:tcMar>
            <w:vAlign w:val="center"/>
          </w:tcPr>
          <w:p>
            <w:pPr>
              <w:pStyle w:val="TableText"/>
              <w:jc w:val="left"/>
            </w:pPr>
            <w:r>
              <w:rPr>
                <w:rFonts w:ascii="Calibri" w:hAnsi="Calibri" w:eastAsia="Calibri"/>
                <w:color w:val="000000"/>
                <w:sz w:val="17"/>
              </w:rPr>
              <w:t>283,970</w:t>
            </w:r>
          </w:p>
        </w:tc>
        <w:tc>
          <w:tcPr>
            <w:tcW w:type="dxa" w:w="3660"/>
            <w:tcMar>
              <w:top w:w="80" w:type="dxa"/>
              <w:start w:w="120" w:type="dxa"/>
              <w:bottom w:w="80" w:type="dxa"/>
              <w:end w:w="120" w:type="dxa"/>
            </w:tcMar>
            <w:vAlign w:val="center"/>
          </w:tcPr>
          <w:p>
            <w:pPr>
              <w:pStyle w:val="TableText"/>
              <w:jc w:val="left"/>
            </w:pPr>
            <w:r>
              <w:rPr>
                <w:rFonts w:ascii="Calibri" w:hAnsi="Calibri" w:eastAsia="Calibri"/>
                <w:color w:val="000000"/>
                <w:sz w:val="17"/>
              </w:rPr>
              <w:t>627,343</w:t>
            </w:r>
          </w:p>
        </w:tc>
      </w:tr>
      <w:tr>
        <w:trPr>
          <w:cantSplit/>
        </w:trPr>
        <w:tc>
          <w:tcPr>
            <w:tcW w:type="dxa" w:w="21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Input features</w:t>
            </w:r>
          </w:p>
        </w:tc>
        <w:tc>
          <w:tcPr>
            <w:tcW w:type="dxa" w:w="36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11 compact node features; 5 edge features</w:t>
            </w:r>
          </w:p>
        </w:tc>
        <w:tc>
          <w:tcPr>
            <w:tcW w:type="dxa" w:w="366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46 feature planes plus side-relative ray reach</w:t>
            </w:r>
          </w:p>
        </w:tc>
      </w:tr>
      <w:tr>
        <w:trPr>
          <w:cantSplit/>
        </w:trPr>
        <w:tc>
          <w:tcPr>
            <w:tcW w:type="dxa" w:w="2100"/>
            <w:tcMar>
              <w:top w:w="80" w:type="dxa"/>
              <w:start w:w="120" w:type="dxa"/>
              <w:bottom w:w="80" w:type="dxa"/>
              <w:end w:w="120" w:type="dxa"/>
            </w:tcMar>
            <w:vAlign w:val="center"/>
          </w:tcPr>
          <w:p>
            <w:pPr>
              <w:pStyle w:val="TableText"/>
              <w:jc w:val="left"/>
            </w:pPr>
            <w:r>
              <w:rPr>
                <w:rFonts w:ascii="Calibri" w:hAnsi="Calibri" w:eastAsia="Calibri"/>
                <w:color w:val="000000"/>
                <w:sz w:val="17"/>
              </w:rPr>
              <w:t>Geometry</w:t>
            </w:r>
          </w:p>
        </w:tc>
        <w:tc>
          <w:tcPr>
            <w:tcW w:type="dxa" w:w="3600"/>
            <w:tcMar>
              <w:top w:w="80" w:type="dxa"/>
              <w:start w:w="120" w:type="dxa"/>
              <w:bottom w:w="80" w:type="dxa"/>
              <w:end w:w="120" w:type="dxa"/>
            </w:tcMar>
            <w:vAlign w:val="center"/>
          </w:tcPr>
          <w:p>
            <w:pPr>
              <w:pStyle w:val="TableText"/>
              <w:jc w:val="left"/>
            </w:pPr>
            <w:r>
              <w:rPr>
                <w:rFonts w:ascii="Calibri" w:hAnsi="Calibri" w:eastAsia="Calibri"/>
                <w:color w:val="000000"/>
                <w:sz w:val="17"/>
              </w:rPr>
              <w:t>Blocker-aware signed axis graph through distance 5</w:t>
            </w:r>
          </w:p>
        </w:tc>
        <w:tc>
          <w:tcPr>
            <w:tcW w:type="dxa" w:w="3660"/>
            <w:tcMar>
              <w:top w:w="80" w:type="dxa"/>
              <w:start w:w="120" w:type="dxa"/>
              <w:bottom w:w="80" w:type="dxa"/>
              <w:end w:w="120" w:type="dxa"/>
            </w:tcMar>
            <w:vAlign w:val="center"/>
          </w:tcPr>
          <w:p>
            <w:pPr>
              <w:pStyle w:val="TableText"/>
              <w:jc w:val="left"/>
            </w:pPr>
            <w:r>
              <w:rPr>
                <w:rFonts w:ascii="Calibri" w:hAnsi="Calibri" w:eastAsia="Calibri"/>
                <w:color w:val="000000"/>
                <w:sz w:val="17"/>
              </w:rPr>
              <w:t>D6-equivariant hex convolution with ray-tap distances 1-5</w:t>
            </w:r>
          </w:p>
        </w:tc>
      </w:tr>
      <w:tr>
        <w:trPr>
          <w:cantSplit/>
        </w:trPr>
        <w:tc>
          <w:tcPr>
            <w:tcW w:type="dxa" w:w="21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Trunk</w:t>
            </w:r>
          </w:p>
        </w:tc>
        <w:tc>
          <w:tcPr>
            <w:tcW w:type="dxa" w:w="36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4 x width-128 pre-norm residual GINE</w:t>
            </w:r>
          </w:p>
        </w:tc>
        <w:tc>
          <w:tcPr>
            <w:tcW w:type="dxa" w:w="366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Five two-convolution C blocks plus three global A blocks at width 192</w:t>
            </w:r>
          </w:p>
        </w:tc>
      </w:tr>
      <w:tr>
        <w:trPr>
          <w:cantSplit/>
        </w:trPr>
        <w:tc>
          <w:tcPr>
            <w:tcW w:type="dxa" w:w="2100"/>
            <w:tcMar>
              <w:top w:w="80" w:type="dxa"/>
              <w:start w:w="120" w:type="dxa"/>
              <w:bottom w:w="80" w:type="dxa"/>
              <w:end w:w="120" w:type="dxa"/>
            </w:tcMar>
            <w:vAlign w:val="center"/>
          </w:tcPr>
          <w:p>
            <w:pPr>
              <w:pStyle w:val="TableText"/>
              <w:jc w:val="left"/>
            </w:pPr>
            <w:r>
              <w:rPr>
                <w:rFonts w:ascii="Calibri" w:hAnsi="Calibri" w:eastAsia="Calibri"/>
                <w:color w:val="000000"/>
                <w:sz w:val="17"/>
              </w:rPr>
              <w:t>Symmetry</w:t>
            </w:r>
          </w:p>
        </w:tc>
        <w:tc>
          <w:tcPr>
            <w:tcW w:type="dxa" w:w="3600"/>
            <w:tcMar>
              <w:top w:w="80" w:type="dxa"/>
              <w:start w:w="120" w:type="dxa"/>
              <w:bottom w:w="80" w:type="dxa"/>
              <w:end w:w="120" w:type="dxa"/>
            </w:tcMar>
            <w:vAlign w:val="center"/>
          </w:tcPr>
          <w:p>
            <w:pPr>
              <w:pStyle w:val="TableText"/>
              <w:jc w:val="left"/>
            </w:pPr>
            <w:r>
              <w:rPr>
                <w:rFonts w:ascii="Calibri" w:hAnsi="Calibri" w:eastAsia="Calibri"/>
                <w:color w:val="000000"/>
                <w:sz w:val="17"/>
              </w:rPr>
              <w:t>Learned through augmentation; not exact D6</w:t>
            </w:r>
          </w:p>
        </w:tc>
        <w:tc>
          <w:tcPr>
            <w:tcW w:type="dxa" w:w="3660"/>
            <w:tcMar>
              <w:top w:w="80" w:type="dxa"/>
              <w:start w:w="120" w:type="dxa"/>
              <w:bottom w:w="80" w:type="dxa"/>
              <w:end w:w="120" w:type="dxa"/>
            </w:tcMar>
            <w:vAlign w:val="center"/>
          </w:tcPr>
          <w:p>
            <w:pPr>
              <w:pStyle w:val="TableText"/>
              <w:jc w:val="left"/>
            </w:pPr>
            <w:r>
              <w:rPr>
                <w:rFonts w:ascii="Calibri" w:hAnsi="Calibri" w:eastAsia="Calibri"/>
                <w:color w:val="000000"/>
                <w:sz w:val="17"/>
              </w:rPr>
              <w:t>Exact D6 regular representation: 12 x 16 orbit channels</w:t>
            </w:r>
          </w:p>
        </w:tc>
      </w:tr>
      <w:tr>
        <w:trPr>
          <w:cantSplit/>
        </w:trPr>
        <w:tc>
          <w:tcPr>
            <w:tcW w:type="dxa" w:w="21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Global route</w:t>
            </w:r>
          </w:p>
        </w:tc>
        <w:tc>
          <w:tcPr>
            <w:tcW w:type="dxa" w:w="36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One dummy node connected to all real nodes</w:t>
            </w:r>
          </w:p>
        </w:tc>
        <w:tc>
          <w:tcPr>
            <w:tcW w:type="dxa" w:w="366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Six tokens plus full attention over tokens and cells</w:t>
            </w:r>
          </w:p>
        </w:tc>
      </w:tr>
      <w:tr>
        <w:trPr>
          <w:cantSplit/>
        </w:trPr>
        <w:tc>
          <w:tcPr>
            <w:tcW w:type="dxa" w:w="2100"/>
            <w:tcMar>
              <w:top w:w="80" w:type="dxa"/>
              <w:start w:w="120" w:type="dxa"/>
              <w:bottom w:w="80" w:type="dxa"/>
              <w:end w:w="120" w:type="dxa"/>
            </w:tcMar>
            <w:vAlign w:val="center"/>
          </w:tcPr>
          <w:p>
            <w:pPr>
              <w:pStyle w:val="TableText"/>
              <w:jc w:val="left"/>
            </w:pPr>
            <w:r>
              <w:rPr>
                <w:rFonts w:ascii="Calibri" w:hAnsi="Calibri" w:eastAsia="Calibri"/>
                <w:color w:val="000000"/>
                <w:sz w:val="17"/>
              </w:rPr>
              <w:t>Policy read</w:t>
            </w:r>
          </w:p>
        </w:tc>
        <w:tc>
          <w:tcPr>
            <w:tcW w:type="dxa" w:w="3600"/>
            <w:tcMar>
              <w:top w:w="80" w:type="dxa"/>
              <w:start w:w="120" w:type="dxa"/>
              <w:bottom w:w="80" w:type="dxa"/>
              <w:end w:w="120" w:type="dxa"/>
            </w:tcMar>
            <w:vAlign w:val="center"/>
          </w:tcPr>
          <w:p>
            <w:pPr>
              <w:pStyle w:val="TableText"/>
              <w:jc w:val="left"/>
            </w:pPr>
            <w:r>
              <w:rPr>
                <w:rFonts w:ascii="Calibri" w:hAnsi="Calibri" w:eastAsia="Calibri"/>
                <w:color w:val="000000"/>
                <w:sz w:val="17"/>
              </w:rPr>
              <w:t>JK-cat of all four depths: 512-wide head input</w:t>
            </w:r>
          </w:p>
        </w:tc>
        <w:tc>
          <w:tcPr>
            <w:tcW w:type="dxa" w:w="3660"/>
            <w:tcMar>
              <w:top w:w="80" w:type="dxa"/>
              <w:start w:w="120" w:type="dxa"/>
              <w:bottom w:w="80" w:type="dxa"/>
              <w:end w:w="120" w:type="dxa"/>
            </w:tcMar>
            <w:vAlign w:val="center"/>
          </w:tcPr>
          <w:p>
            <w:pPr>
              <w:pStyle w:val="TableText"/>
              <w:jc w:val="left"/>
            </w:pPr>
            <w:r>
              <w:rPr>
                <w:rFonts w:ascii="Calibri" w:hAnsi="Calibri" w:eastAsia="Calibri"/>
                <w:color w:val="000000"/>
                <w:sz w:val="17"/>
              </w:rPr>
              <w:t>Final cell state only; group-pooled invariant read around 32 features</w:t>
            </w:r>
          </w:p>
        </w:tc>
      </w:tr>
      <w:tr>
        <w:trPr>
          <w:cantSplit/>
        </w:trPr>
        <w:tc>
          <w:tcPr>
            <w:tcW w:type="dxa" w:w="21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Value pool</w:t>
            </w:r>
          </w:p>
        </w:tc>
        <w:tc>
          <w:tcPr>
            <w:tcW w:type="dxa" w:w="36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Mean over stone nodes</w:t>
            </w:r>
          </w:p>
        </w:tc>
        <w:tc>
          <w:tcPr>
            <w:tcW w:type="dxa" w:w="366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Tokens plus mean over all support cells</w:t>
            </w:r>
          </w:p>
        </w:tc>
      </w:tr>
      <w:tr>
        <w:trPr>
          <w:cantSplit/>
        </w:trPr>
        <w:tc>
          <w:tcPr>
            <w:tcW w:type="dxa" w:w="2100"/>
            <w:tcMar>
              <w:top w:w="80" w:type="dxa"/>
              <w:start w:w="120" w:type="dxa"/>
              <w:bottom w:w="80" w:type="dxa"/>
              <w:end w:w="120" w:type="dxa"/>
            </w:tcMar>
            <w:vAlign w:val="center"/>
          </w:tcPr>
          <w:p>
            <w:pPr>
              <w:pStyle w:val="TableText"/>
              <w:jc w:val="left"/>
            </w:pPr>
            <w:r>
              <w:rPr>
                <w:rFonts w:ascii="Calibri" w:hAnsi="Calibri" w:eastAsia="Calibri"/>
                <w:color w:val="000000"/>
                <w:sz w:val="17"/>
              </w:rPr>
              <w:t>Action support</w:t>
            </w:r>
          </w:p>
        </w:tc>
        <w:tc>
          <w:tcPr>
            <w:tcW w:type="dxa" w:w="3600"/>
            <w:tcMar>
              <w:top w:w="80" w:type="dxa"/>
              <w:start w:w="120" w:type="dxa"/>
              <w:bottom w:w="80" w:type="dxa"/>
              <w:end w:w="120" w:type="dxa"/>
            </w:tcMar>
            <w:vAlign w:val="center"/>
          </w:tcPr>
          <w:p>
            <w:pPr>
              <w:pStyle w:val="TableText"/>
              <w:jc w:val="left"/>
            </w:pPr>
            <w:r>
              <w:rPr>
                <w:rFonts w:ascii="Calibri" w:hAnsi="Calibri" w:eastAsia="Calibri"/>
                <w:color w:val="000000"/>
                <w:sz w:val="17"/>
              </w:rPr>
              <w:t>Radius 6: 126 early empty candidates</w:t>
            </w:r>
          </w:p>
        </w:tc>
        <w:tc>
          <w:tcPr>
            <w:tcW w:type="dxa" w:w="3660"/>
            <w:tcMar>
              <w:top w:w="80" w:type="dxa"/>
              <w:start w:w="120" w:type="dxa"/>
              <w:bottom w:w="80" w:type="dxa"/>
              <w:end w:w="120" w:type="dxa"/>
            </w:tcMar>
            <w:vAlign w:val="center"/>
          </w:tcPr>
          <w:p>
            <w:pPr>
              <w:pStyle w:val="TableText"/>
              <w:jc w:val="left"/>
            </w:pPr>
            <w:r>
              <w:rPr>
                <w:rFonts w:ascii="Calibri" w:hAnsi="Calibri" w:eastAsia="Calibri"/>
                <w:color w:val="000000"/>
                <w:sz w:val="17"/>
              </w:rPr>
              <w:t>Radius 4: 60 early empty candidates</w:t>
            </w:r>
          </w:p>
        </w:tc>
      </w:tr>
      <w:tr>
        <w:trPr>
          <w:cantSplit/>
        </w:trPr>
        <w:tc>
          <w:tcPr>
            <w:tcW w:type="dxa" w:w="21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Objectives</w:t>
            </w:r>
          </w:p>
        </w:tc>
        <w:tc>
          <w:tcPr>
            <w:tcW w:type="dxa" w:w="36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Policy KL plus scalar value</w:t>
            </w:r>
          </w:p>
        </w:tc>
        <w:tc>
          <w:tcPr>
            <w:tcW w:type="dxa" w:w="366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Policy, outcome, opponent/soft policy, STV x3, moves-left, and cell-Q</w:t>
            </w:r>
          </w:p>
        </w:tc>
      </w:tr>
    </w:tbl>
    <w:p>
      <w:pPr>
        <w:pStyle w:val="SourceText"/>
        <w:spacing w:before="80"/>
      </w:pPr>
      <w:r>
        <w:rPr>
          <w:rFonts w:ascii="Calibri" w:hAnsi="Calibri" w:eastAsia="Calibri"/>
          <w:i/>
          <w:color w:val="5C6670"/>
          <w:sz w:val="17"/>
        </w:rPr>
        <w:t>Checkpoint and implementation sources: [S7-S17]. Parameter count is not the explanation; Hexfield_EQ is more than twice as large.</w:t>
      </w:r>
    </w:p>
    <w:p>
      <w:pPr>
        <w:pStyle w:val="Heading2"/>
      </w:pPr>
      <w:r>
        <w:t>Why Strix is parameter-efficient</w:t>
      </w:r>
    </w:p>
    <w:p>
      <w:pPr>
        <w:numPr>
          <w:ilvl w:val="0"/>
          <w:numId w:val="13"/>
        </w:numPr>
        <w:spacing w:after="160" w:line="280" w:lineRule="auto"/>
      </w:pPr>
      <w:r>
        <w:rPr>
          <w:rFonts w:ascii="Calibri" w:hAnsi="Calibri" w:eastAsia="Calibri"/>
          <w:b/>
          <w:color w:val="172A3A"/>
          <w:sz w:val="22"/>
        </w:rPr>
        <w:t xml:space="preserve">The graph encodes the win condition. </w:t>
      </w:r>
      <w:r>
        <w:rPr>
          <w:rFonts w:ascii="Calibri" w:hAnsi="Calibri" w:eastAsia="Calibri"/>
          <w:color w:val="000000"/>
          <w:sz w:val="22"/>
        </w:rPr>
        <w:t>Every legal candidate can receive evidence along all six signed win directions through distance five in one layer. Blockers and ownership change which messages exist. [S7]</w:t>
      </w:r>
    </w:p>
    <w:p>
      <w:pPr>
        <w:numPr>
          <w:ilvl w:val="0"/>
          <w:numId w:val="13"/>
        </w:numPr>
        <w:spacing w:after="160" w:line="280" w:lineRule="auto"/>
      </w:pPr>
      <w:r>
        <w:rPr>
          <w:rFonts w:ascii="Calibri" w:hAnsi="Calibri" w:eastAsia="Calibri"/>
          <w:b/>
          <w:color w:val="172A3A"/>
          <w:sz w:val="22"/>
        </w:rPr>
        <w:t xml:space="preserve">Messages remain relational until after a nonlinearity. </w:t>
      </w:r>
      <w:r>
        <w:rPr>
          <w:rFonts w:ascii="Calibri" w:hAnsi="Calibri" w:eastAsia="Calibri"/>
          <w:color w:val="000000"/>
          <w:sz w:val="22"/>
        </w:rPr>
        <w:t>GINE computes ReLU(sender embedding + learned edge embedding) per edge before sum aggregation, then applies a two-layer node MLP. Axis, signed distance, source player, and sender content can interact before accumulation. [S8]</w:t>
      </w:r>
    </w:p>
    <w:p>
      <w:pPr>
        <w:numPr>
          <w:ilvl w:val="0"/>
          <w:numId w:val="13"/>
        </w:numPr>
        <w:spacing w:after="160" w:line="280" w:lineRule="auto"/>
      </w:pPr>
      <w:r>
        <w:rPr>
          <w:rFonts w:ascii="Calibri" w:hAnsi="Calibri" w:eastAsia="Calibri"/>
          <w:b/>
          <w:color w:val="172A3A"/>
          <w:sz w:val="22"/>
        </w:rPr>
        <w:t xml:space="preserve">JK-cat preserves multiple scales. </w:t>
      </w:r>
      <w:r>
        <w:rPr>
          <w:rFonts w:ascii="Calibri" w:hAnsi="Calibri" w:eastAsia="Calibri"/>
          <w:color w:val="000000"/>
          <w:sz w:val="22"/>
        </w:rPr>
        <w:t>All four normalized layer outputs are concatenated. The heads see shallow tactics, intermediate line compositions, and deeper/global context simultaneously rather than trusting only the final representation. [S8]</w:t>
      </w:r>
    </w:p>
    <w:p>
      <w:pPr>
        <w:numPr>
          <w:ilvl w:val="0"/>
          <w:numId w:val="13"/>
        </w:numPr>
        <w:spacing w:after="160" w:line="280" w:lineRule="auto"/>
      </w:pPr>
      <w:r>
        <w:rPr>
          <w:rFonts w:ascii="Calibri" w:hAnsi="Calibri" w:eastAsia="Calibri"/>
          <w:b/>
          <w:color w:val="172A3A"/>
          <w:sz w:val="22"/>
        </w:rPr>
        <w:t xml:space="preserve">Pruning focuses the small network. </w:t>
      </w:r>
      <w:r>
        <w:rPr>
          <w:rFonts w:ascii="Calibri" w:hAnsi="Calibri" w:eastAsia="Calibri"/>
          <w:color w:val="000000"/>
          <w:sz w:val="22"/>
        </w:rPr>
        <w:t>Empty-to-empty graph edges are removed, and the value head pools only stone nodes. Compute is concentrated on action-to-stone and stone-to-stone tactical relations. [S7-S8]</w:t>
      </w:r>
    </w:p>
    <w:p>
      <w:pPr>
        <w:pStyle w:val="Heading2"/>
      </w:pPr>
      <w:r>
        <w:t>Strix limitations</w:t>
      </w:r>
    </w:p>
    <w:p>
      <w:pPr>
        <w:numPr>
          <w:ilvl w:val="0"/>
          <w:numId w:val="10"/>
        </w:numPr>
        <w:spacing w:after="160" w:line="280" w:lineRule="auto"/>
      </w:pPr>
      <w:r>
        <w:rPr>
          <w:rFonts w:ascii="Calibri" w:hAnsi="Calibri" w:eastAsia="Calibri"/>
          <w:color w:val="000000"/>
          <w:sz w:val="22"/>
        </w:rPr>
        <w:t>It is not exactly D6 equivariant and is not fully color-swap equivariant; orientation and some player semantics must be learned.</w:t>
      </w:r>
    </w:p>
    <w:p>
      <w:pPr>
        <w:numPr>
          <w:ilvl w:val="0"/>
          <w:numId w:val="10"/>
        </w:numPr>
        <w:spacing w:after="160" w:line="280" w:lineRule="auto"/>
      </w:pPr>
      <w:r>
        <w:rPr>
          <w:rFonts w:ascii="Calibri" w:hAnsi="Calibri" w:eastAsia="Calibri"/>
          <w:color w:val="000000"/>
          <w:sz w:val="22"/>
        </w:rPr>
        <w:t>GINE uses unnormalized sums, so degree and board-size shifts can affect activation scale.</w:t>
      </w:r>
    </w:p>
    <w:p>
      <w:pPr>
        <w:numPr>
          <w:ilvl w:val="0"/>
          <w:numId w:val="10"/>
        </w:numPr>
        <w:spacing w:after="160" w:line="280" w:lineRule="auto"/>
      </w:pPr>
      <w:r>
        <w:rPr>
          <w:rFonts w:ascii="Calibri" w:hAnsi="Calibri" w:eastAsia="Calibri"/>
          <w:color w:val="000000"/>
          <w:sz w:val="22"/>
        </w:rPr>
        <w:t>The global dummy is a high-degree sum bottleneck, and empty-empty hypothetical relations are absent.</w:t>
      </w:r>
    </w:p>
    <w:p>
      <w:pPr>
        <w:numPr>
          <w:ilvl w:val="0"/>
          <w:numId w:val="10"/>
        </w:numPr>
        <w:spacing w:after="160" w:line="280" w:lineRule="auto"/>
      </w:pPr>
      <w:r>
        <w:rPr>
          <w:rFonts w:ascii="Calibri" w:hAnsi="Calibri" w:eastAsia="Calibri"/>
          <w:color w:val="000000"/>
          <w:sz w:val="22"/>
        </w:rPr>
        <w:t>Radius 6 still omits engine-legal radius-7 and radius-8 moves, and normal search considers only the top 16 neural candidates when no forcing proof fires.</w:t>
      </w:r>
    </w:p>
    <w:p>
      <w:pPr>
        <w:numPr>
          <w:ilvl w:val="0"/>
          <w:numId w:val="10"/>
        </w:numPr>
        <w:spacing w:after="160" w:line="280" w:lineRule="auto"/>
      </w:pPr>
      <w:r>
        <w:rPr>
          <w:rFonts w:ascii="Calibri" w:hAnsi="Calibri" w:eastAsia="Calibri"/>
          <w:color w:val="000000"/>
          <w:sz w:val="22"/>
        </w:rPr>
        <w:t>Threat features and stone-only value pooling are compact but lossy summaries.</w:t>
      </w:r>
    </w:p>
    <w:p>
      <w:pPr>
        <w:pStyle w:val="Heading1"/>
      </w:pPr>
      <w:r>
        <w:t>4. Hexfield_EQ strengths worth preserving</w:t>
      </w:r>
    </w:p>
    <w:p>
      <w:pPr>
        <w:numPr>
          <w:ilvl w:val="0"/>
          <w:numId w:val="14"/>
        </w:numPr>
        <w:spacing w:after="160" w:line="280" w:lineRule="auto"/>
      </w:pPr>
      <w:r>
        <w:rPr>
          <w:rFonts w:ascii="Calibri" w:hAnsi="Calibri" w:eastAsia="Calibri"/>
          <w:b/>
          <w:color w:val="172A3A"/>
          <w:sz w:val="22"/>
        </w:rPr>
        <w:t xml:space="preserve">Exact symmetry. </w:t>
      </w:r>
      <w:r>
        <w:rPr>
          <w:rFonts w:ascii="Calibri" w:hAnsi="Calibri" w:eastAsia="Calibri"/>
          <w:color w:val="000000"/>
          <w:sz w:val="22"/>
        </w:rPr>
        <w:t>Policy transforms exactly and value remains invariant under every D6 board transform. This is a valid sample-efficiency prior, not a design mistake. [S10-S11]</w:t>
      </w:r>
    </w:p>
    <w:p>
      <w:pPr>
        <w:numPr>
          <w:ilvl w:val="0"/>
          <w:numId w:val="14"/>
        </w:numPr>
        <w:spacing w:after="160" w:line="280" w:lineRule="auto"/>
      </w:pPr>
      <w:r>
        <w:rPr>
          <w:rFonts w:ascii="Calibri" w:hAnsi="Calibri" w:eastAsia="Calibri"/>
          <w:b/>
          <w:color w:val="172A3A"/>
          <w:sz w:val="22"/>
        </w:rPr>
        <w:t xml:space="preserve">Rich typed inputs. </w:t>
      </w:r>
      <w:r>
        <w:rPr>
          <w:rFonts w:ascii="Calibri" w:hAnsi="Calibri" w:eastAsia="Calibri"/>
          <w:color w:val="000000"/>
          <w:sz w:val="22"/>
        </w:rPr>
        <w:t>The model encodes occupancy, legality, turn phase, first stone, color, recency, previous-turn stones, graded windows, fork indicators, distance, and global geometry. [S12]</w:t>
      </w:r>
    </w:p>
    <w:p>
      <w:pPr>
        <w:numPr>
          <w:ilvl w:val="0"/>
          <w:numId w:val="14"/>
        </w:numPr>
        <w:spacing w:after="160" w:line="280" w:lineRule="auto"/>
      </w:pPr>
      <w:r>
        <w:rPr>
          <w:rFonts w:ascii="Calibri" w:hAnsi="Calibri" w:eastAsia="Calibri"/>
          <w:b/>
          <w:color w:val="172A3A"/>
          <w:sz w:val="22"/>
        </w:rPr>
        <w:t xml:space="preserve">Global context. </w:t>
      </w:r>
      <w:r>
        <w:rPr>
          <w:rFonts w:ascii="Calibri" w:hAnsi="Calibri" w:eastAsia="Calibri"/>
          <w:color w:val="000000"/>
          <w:sz w:val="22"/>
        </w:rPr>
        <w:t>Three A blocks perform full attention over cells and six summary tokens. Lack of a board-global receptive field is not the central weakness. [S13]</w:t>
      </w:r>
    </w:p>
    <w:p>
      <w:pPr>
        <w:numPr>
          <w:ilvl w:val="0"/>
          <w:numId w:val="14"/>
        </w:numPr>
        <w:spacing w:after="160" w:line="280" w:lineRule="auto"/>
      </w:pPr>
      <w:r>
        <w:rPr>
          <w:rFonts w:ascii="Calibri" w:hAnsi="Calibri" w:eastAsia="Calibri"/>
          <w:b/>
          <w:color w:val="172A3A"/>
          <w:sz w:val="22"/>
        </w:rPr>
        <w:t xml:space="preserve">Explicit counting lane. </w:t>
      </w:r>
      <w:r>
        <w:rPr>
          <w:rFonts w:ascii="Calibri" w:hAnsi="Calibri" w:eastAsia="Calibri"/>
          <w:color w:val="000000"/>
          <w:sz w:val="22"/>
        </w:rPr>
        <w:t>The sigmoid-gated unnormalized register sum was deliberately added because softmax attention averages rather than counts. This is well motivated for simultaneous threats. [S14]</w:t>
      </w:r>
    </w:p>
    <w:p>
      <w:pPr>
        <w:numPr>
          <w:ilvl w:val="0"/>
          <w:numId w:val="14"/>
        </w:numPr>
        <w:spacing w:after="160" w:line="280" w:lineRule="auto"/>
      </w:pPr>
      <w:r>
        <w:rPr>
          <w:rFonts w:ascii="Calibri" w:hAnsi="Calibri" w:eastAsia="Calibri"/>
          <w:b/>
          <w:color w:val="172A3A"/>
          <w:sz w:val="22"/>
        </w:rPr>
        <w:t xml:space="preserve">Engineering discipline. </w:t>
      </w:r>
      <w:r>
        <w:rPr>
          <w:rFonts w:ascii="Calibri" w:hAnsi="Calibri" w:eastAsia="Calibri"/>
          <w:color w:val="000000"/>
          <w:sz w:val="22"/>
        </w:rPr>
        <w:t>Rust owns support construction, featurization, batching, caching, native search, and action mapping; checkpoints self-describe their architecture.</w:t>
      </w:r>
    </w:p>
    <w:p>
      <w:pPr>
        <w:pStyle w:val="Heading1"/>
      </w:pPr>
      <w:r>
        <w:t>5. Hexfield_EQ weaknesses versus Strix</w:t>
      </w:r>
    </w:p>
    <w:p>
      <w:pPr>
        <w:numPr>
          <w:ilvl w:val="0"/>
          <w:numId w:val="15"/>
        </w:numPr>
        <w:spacing w:after="160" w:line="280" w:lineRule="auto"/>
      </w:pPr>
      <w:r>
        <w:rPr>
          <w:rFonts w:ascii="Calibri" w:hAnsi="Calibri" w:eastAsia="Calibri"/>
          <w:b/>
          <w:color w:val="172A3A"/>
          <w:sz w:val="22"/>
        </w:rPr>
        <w:t xml:space="preserve">Radius-4 action truncation. </w:t>
      </w:r>
      <w:r>
        <w:rPr>
          <w:rFonts w:ascii="Calibri" w:hAnsi="Calibri" w:eastAsia="Calibri"/>
          <w:color w:val="000000"/>
          <w:sz w:val="22"/>
        </w:rPr>
        <w:t>The game permits moves through radius 8 and Strix uses radius 6, but Hexfield deployment drops legal moves beyond radius 4 before the evaluator or tree can consider them. After one stone this is 60 empty actions versus 126 for Strix and 216 for the engine. This can exclude spreading, diversion, and setup moves. [S22-S23]</w:t>
      </w:r>
    </w:p>
    <w:p>
      <w:pPr>
        <w:numPr>
          <w:ilvl w:val="0"/>
          <w:numId w:val="15"/>
        </w:numPr>
        <w:spacing w:after="160" w:line="280" w:lineRule="auto"/>
      </w:pPr>
      <w:r>
        <w:rPr>
          <w:rFonts w:ascii="Calibri" w:hAnsi="Calibri" w:eastAsia="Calibri"/>
          <w:b/>
          <w:color w:val="172A3A"/>
          <w:sz w:val="22"/>
        </w:rPr>
        <w:t xml:space="preserve">Full regular representation has poor capacity per compute. </w:t>
      </w:r>
      <w:r>
        <w:rPr>
          <w:rFonts w:ascii="Calibri" w:hAnsi="Calibri" w:eastAsia="Calibri"/>
          <w:color w:val="000000"/>
          <w:sz w:val="22"/>
        </w:rPr>
        <w:t>Width 192 is 12 symmetry slots x only 16 independently learned orbit channels. The design pays 192-wide dense compute while heavily tying channel mixing, including for invariant and axis-typed concepts that do not need all 12 slots. Mixed quotient representations could retain exact D6 with more useful multiplicity. [S10-S11]</w:t>
      </w:r>
    </w:p>
    <w:p>
      <w:pPr>
        <w:numPr>
          <w:ilvl w:val="0"/>
          <w:numId w:val="15"/>
        </w:numPr>
        <w:spacing w:after="160" w:line="280" w:lineRule="auto"/>
      </w:pPr>
      <w:r>
        <w:rPr>
          <w:rFonts w:ascii="Calibri" w:hAnsi="Calibri" w:eastAsia="Calibri"/>
          <w:b/>
          <w:color w:val="172A3A"/>
          <w:sz w:val="22"/>
        </w:rPr>
        <w:t xml:space="preserve">Signed-distance information is compressed too early. </w:t>
      </w:r>
      <w:r>
        <w:rPr>
          <w:rFonts w:ascii="Calibri" w:hAnsi="Calibri" w:eastAsia="Calibri"/>
          <w:color w:val="000000"/>
          <w:sz w:val="22"/>
        </w:rPr>
        <w:t>Each ray tap linearly combines distance-1 through distance-5 hidden states before the main direction-typed convolution. Distinct tactical configurations can alias before nonlinear relational processing. Strix preserves edge distance, axis, player, and source content until after its first ReLU. [S8-S13]</w:t>
      </w:r>
    </w:p>
    <w:p>
      <w:pPr>
        <w:numPr>
          <w:ilvl w:val="0"/>
          <w:numId w:val="15"/>
        </w:numPr>
        <w:spacing w:after="160" w:line="280" w:lineRule="auto"/>
      </w:pPr>
      <w:r>
        <w:rPr>
          <w:rFonts w:ascii="Calibri" w:hAnsi="Calibri" w:eastAsia="Calibri"/>
          <w:b/>
          <w:color w:val="172A3A"/>
          <w:sz w:val="22"/>
        </w:rPr>
        <w:t xml:space="preserve">Final-only policy access. </w:t>
      </w:r>
      <w:r>
        <w:rPr>
          <w:rFonts w:ascii="Calibri" w:hAnsi="Calibri" w:eastAsia="Calibri"/>
          <w:color w:val="000000"/>
          <w:sz w:val="22"/>
        </w:rPr>
        <w:t>The policy reads only the final cell state and then group-pools to a narrow invariant feature bank. Strix gives its policy a 512-wide concatenation of every layer. Hexfield can overwrite or oversmooth early tactical features with no direct escape path to the head. [S8, S13]</w:t>
      </w:r>
    </w:p>
    <w:p>
      <w:pPr>
        <w:numPr>
          <w:ilvl w:val="0"/>
          <w:numId w:val="15"/>
        </w:numPr>
        <w:spacing w:after="160" w:line="280" w:lineRule="auto"/>
      </w:pPr>
      <w:r>
        <w:rPr>
          <w:rFonts w:ascii="Calibri" w:hAnsi="Calibri" w:eastAsia="Calibri"/>
          <w:b/>
          <w:color w:val="172A3A"/>
          <w:sz w:val="22"/>
        </w:rPr>
        <w:t xml:space="preserve">Global summaries include changing background. </w:t>
      </w:r>
      <w:r>
        <w:rPr>
          <w:rFonts w:ascii="Calibri" w:hAnsi="Calibri" w:eastAsia="Calibri"/>
          <w:color w:val="000000"/>
          <w:sz w:val="22"/>
        </w:rPr>
        <w:t>Hexfield mean-pools all live support nodes and refreshes registers over stones, empties, and halo. It can learn to gate background, but support size and empty-to-stone ratio change throughout the game. Strix's stone-only value pool avoids this burden. [S8, S13-S14]</w:t>
      </w:r>
    </w:p>
    <w:p>
      <w:pPr>
        <w:numPr>
          <w:ilvl w:val="0"/>
          <w:numId w:val="15"/>
        </w:numPr>
        <w:spacing w:after="160" w:line="280" w:lineRule="auto"/>
      </w:pPr>
      <w:r>
        <w:rPr>
          <w:rFonts w:ascii="Calibri" w:hAnsi="Calibri" w:eastAsia="Calibri"/>
          <w:b/>
          <w:color w:val="172A3A"/>
          <w:sz w:val="22"/>
        </w:rPr>
        <w:t xml:space="preserve">Conservative residual scaling and register conditioning. </w:t>
      </w:r>
      <w:r>
        <w:rPr>
          <w:rFonts w:ascii="Calibri" w:hAnsi="Calibri" w:eastAsia="Calibri"/>
          <w:color w:val="000000"/>
          <w:sz w:val="22"/>
        </w:rPr>
        <w:t>Convolution and attention branches start with LayerScale at 1e-4, while register output begins near zero. This is stable in principle but can make an eight-block trunk nearly identity-like early in a relatively short run. Prefit telemetry also shows severe clipping and register-lane gradient dominance. [S13-S16]</w:t>
      </w:r>
    </w:p>
    <w:p>
      <w:pPr>
        <w:numPr>
          <w:ilvl w:val="0"/>
          <w:numId w:val="15"/>
        </w:numPr>
        <w:spacing w:after="160" w:line="280" w:lineRule="auto"/>
      </w:pPr>
      <w:r>
        <w:rPr>
          <w:rFonts w:ascii="Calibri" w:hAnsi="Calibri" w:eastAsia="Calibri"/>
          <w:b/>
          <w:color w:val="172A3A"/>
          <w:sz w:val="22"/>
        </w:rPr>
        <w:t xml:space="preserve">Nine objectives compete for a narrow shared representation. </w:t>
      </w:r>
      <w:r>
        <w:rPr>
          <w:rFonts w:ascii="Calibri" w:hAnsi="Calibri" w:eastAsia="Calibri"/>
          <w:color w:val="000000"/>
          <w:sz w:val="22"/>
        </w:rPr>
        <w:t>At the latest training diagnostics, policy plus value contributed only about one-third of the weighted scalar objective. Auxiliaries may help, but gradient alignment has not been demonstrated. Approximately one-third of all parameters are in heads. [S3, S15]</w:t>
      </w:r>
    </w:p>
    <w:p>
      <w:pPr>
        <w:numPr>
          <w:ilvl w:val="0"/>
          <w:numId w:val="15"/>
        </w:numPr>
        <w:spacing w:after="160" w:line="280" w:lineRule="auto"/>
      </w:pPr>
      <w:r>
        <w:rPr>
          <w:rFonts w:ascii="Calibri" w:hAnsi="Calibri" w:eastAsia="Calibri"/>
          <w:b/>
          <w:color w:val="172A3A"/>
          <w:sz w:val="22"/>
        </w:rPr>
        <w:t xml:space="preserve">Boundary features can advertise unreachable continuations. </w:t>
      </w:r>
      <w:r>
        <w:rPr>
          <w:rFonts w:ascii="Calibri" w:hAnsi="Calibri" w:eastAsia="Calibri"/>
          <w:color w:val="000000"/>
          <w:sz w:val="22"/>
        </w:rPr>
        <w:t>Length-six windows extending outside support are treated as clean/empty. With radius-4 actions, a boundary feature can signal an open continuation the search is not allowed to play. This is likely secondary but is a verified semantic mismatch. [S12, S22]</w:t>
      </w:r>
    </w:p>
    <w:p>
      <w:pPr>
        <w:pStyle w:val="Heading1"/>
      </w:pPr>
      <w:r>
        <w:t>6. Training maturity and optimization</w:t>
      </w:r>
    </w:p>
    <w:p>
      <w:r>
        <w:rPr>
          <w:rFonts w:ascii="Calibri" w:hAnsi="Calibri" w:eastAsia="Calibri"/>
          <w:color w:val="000000"/>
          <w:sz w:val="22"/>
        </w:rPr>
        <w:t>The comparison is not training-matched. Strix records a long curriculum and target-reuse lineage; Hexfield main-2 is much younger and shows late improvement. At the same time, the raw 237,000 versus 17,357 step ratio should not be presented as a precise 13.7x optimizer-maturity ratio because the projects use different step semantics.</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2450"/>
        <w:gridCol w:w="2900"/>
        <w:gridCol w:w="4010"/>
      </w:tblGrid>
      <w:tr>
        <w:trPr>
          <w:cantSplit/>
          <w:tblHeader w:val="true"/>
          <w:cantSplit/>
          <w:tblHeader w:val="true"/>
        </w:trPr>
        <w:tc>
          <w:tcPr>
            <w:tcW w:type="dxa" w:w="245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8"/>
              </w:rPr>
              <w:t>Training dimension</w:t>
            </w:r>
          </w:p>
        </w:tc>
        <w:tc>
          <w:tcPr>
            <w:tcW w:type="dxa" w:w="290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8"/>
              </w:rPr>
              <w:t>Strix anchor</w:t>
            </w:r>
          </w:p>
        </w:tc>
        <w:tc>
          <w:tcPr>
            <w:tcW w:type="dxa" w:w="401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8"/>
              </w:rPr>
              <w:t>Hexfield_EQ main-2</w:t>
            </w:r>
          </w:p>
        </w:tc>
      </w:tr>
      <w:tr>
        <w:trPr>
          <w:cantSplit/>
        </w:trPr>
        <w:tc>
          <w:tcPr>
            <w:tcW w:type="dxa" w:w="2450"/>
            <w:tcMar>
              <w:top w:w="80" w:type="dxa"/>
              <w:start w:w="120" w:type="dxa"/>
              <w:bottom w:w="80" w:type="dxa"/>
              <w:end w:w="120" w:type="dxa"/>
            </w:tcMar>
            <w:vAlign w:val="center"/>
          </w:tcPr>
          <w:p>
            <w:pPr>
              <w:pStyle w:val="TableText"/>
              <w:jc w:val="left"/>
            </w:pPr>
            <w:r>
              <w:rPr>
                <w:rFonts w:ascii="Calibri" w:hAnsi="Calibri" w:eastAsia="Calibri"/>
                <w:color w:val="000000"/>
                <w:sz w:val="18"/>
              </w:rPr>
              <w:t>Optimizer state</w:t>
            </w:r>
          </w:p>
        </w:tc>
        <w:tc>
          <w:tcPr>
            <w:tcW w:type="dxa" w:w="2900"/>
            <w:tcMar>
              <w:top w:w="80" w:type="dxa"/>
              <w:start w:w="120" w:type="dxa"/>
              <w:bottom w:w="80" w:type="dxa"/>
              <w:end w:w="120" w:type="dxa"/>
            </w:tcMar>
            <w:vAlign w:val="center"/>
          </w:tcPr>
          <w:p>
            <w:pPr>
              <w:pStyle w:val="TableText"/>
              <w:jc w:val="left"/>
            </w:pPr>
            <w:r>
              <w:rPr>
                <w:rFonts w:ascii="Calibri" w:hAnsi="Calibri" w:eastAsia="Calibri"/>
                <w:color w:val="000000"/>
                <w:sz w:val="18"/>
              </w:rPr>
              <w:t>about 33,899</w:t>
            </w:r>
          </w:p>
        </w:tc>
        <w:tc>
          <w:tcPr>
            <w:tcW w:type="dxa" w:w="4010"/>
            <w:tcMar>
              <w:top w:w="80" w:type="dxa"/>
              <w:start w:w="120" w:type="dxa"/>
              <w:bottom w:w="80" w:type="dxa"/>
              <w:end w:w="120" w:type="dxa"/>
            </w:tcMar>
            <w:vAlign w:val="center"/>
          </w:tcPr>
          <w:p>
            <w:pPr>
              <w:pStyle w:val="TableText"/>
              <w:jc w:val="left"/>
            </w:pPr>
            <w:r>
              <w:rPr>
                <w:rFonts w:ascii="Calibri" w:hAnsi="Calibri" w:eastAsia="Calibri"/>
                <w:color w:val="000000"/>
                <w:sz w:val="18"/>
              </w:rPr>
              <w:t>14,957 RL + about 2,400 prefit</w:t>
            </w:r>
          </w:p>
        </w:tc>
      </w:tr>
      <w:tr>
        <w:trPr>
          <w:cantSplit/>
        </w:trPr>
        <w:tc>
          <w:tcPr>
            <w:tcW w:type="dxa" w:w="24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Embedded training counter</w:t>
            </w:r>
          </w:p>
        </w:tc>
        <w:tc>
          <w:tcPr>
            <w:tcW w:type="dxa" w:w="29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train_steps=237,000</w:t>
            </w:r>
          </w:p>
        </w:tc>
        <w:tc>
          <w:tcPr>
            <w:tcW w:type="dxa" w:w="40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not directly equivalent</w:t>
            </w:r>
          </w:p>
        </w:tc>
      </w:tr>
      <w:tr>
        <w:trPr>
          <w:cantSplit/>
        </w:trPr>
        <w:tc>
          <w:tcPr>
            <w:tcW w:type="dxa" w:w="2450"/>
            <w:tcMar>
              <w:top w:w="80" w:type="dxa"/>
              <w:start w:w="120" w:type="dxa"/>
              <w:bottom w:w="80" w:type="dxa"/>
              <w:end w:w="120" w:type="dxa"/>
            </w:tcMar>
            <w:vAlign w:val="center"/>
          </w:tcPr>
          <w:p>
            <w:pPr>
              <w:pStyle w:val="TableText"/>
              <w:jc w:val="left"/>
            </w:pPr>
            <w:r>
              <w:rPr>
                <w:rFonts w:ascii="Calibri" w:hAnsi="Calibri" w:eastAsia="Calibri"/>
                <w:color w:val="000000"/>
                <w:sz w:val="18"/>
              </w:rPr>
              <w:t>Nominal batch rows</w:t>
            </w:r>
          </w:p>
        </w:tc>
        <w:tc>
          <w:tcPr>
            <w:tcW w:type="dxa" w:w="2900"/>
            <w:tcMar>
              <w:top w:w="80" w:type="dxa"/>
              <w:start w:w="120" w:type="dxa"/>
              <w:bottom w:w="80" w:type="dxa"/>
              <w:end w:w="120" w:type="dxa"/>
            </w:tcMar>
            <w:vAlign w:val="center"/>
          </w:tcPr>
          <w:p>
            <w:pPr>
              <w:pStyle w:val="TableText"/>
              <w:jc w:val="left"/>
            </w:pPr>
            <w:r>
              <w:rPr>
                <w:rFonts w:ascii="Calibri" w:hAnsi="Calibri" w:eastAsia="Calibri"/>
                <w:color w:val="000000"/>
                <w:sz w:val="18"/>
              </w:rPr>
              <w:t>at least about 17.36M</w:t>
            </w:r>
          </w:p>
        </w:tc>
        <w:tc>
          <w:tcPr>
            <w:tcW w:type="dxa" w:w="4010"/>
            <w:tcMar>
              <w:top w:w="80" w:type="dxa"/>
              <w:start w:w="120" w:type="dxa"/>
              <w:bottom w:w="80" w:type="dxa"/>
              <w:end w:w="120" w:type="dxa"/>
            </w:tcMar>
            <w:vAlign w:val="center"/>
          </w:tcPr>
          <w:p>
            <w:pPr>
              <w:pStyle w:val="TableText"/>
              <w:jc w:val="left"/>
            </w:pPr>
            <w:r>
              <w:rPr>
                <w:rFonts w:ascii="Calibri" w:hAnsi="Calibri" w:eastAsia="Calibri"/>
                <w:color w:val="000000"/>
                <w:sz w:val="18"/>
              </w:rPr>
              <w:t>about 4.44M including prefit</w:t>
            </w:r>
          </w:p>
        </w:tc>
      </w:tr>
      <w:tr>
        <w:trPr>
          <w:cantSplit/>
        </w:trPr>
        <w:tc>
          <w:tcPr>
            <w:tcW w:type="dxa" w:w="24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Target reuse</w:t>
            </w:r>
          </w:p>
        </w:tc>
        <w:tc>
          <w:tcPr>
            <w:tcW w:type="dxa" w:w="29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8</w:t>
            </w:r>
          </w:p>
        </w:tc>
        <w:tc>
          <w:tcPr>
            <w:tcW w:type="dxa" w:w="40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observed about 2.5 late in main-2</w:t>
            </w:r>
          </w:p>
        </w:tc>
      </w:tr>
      <w:tr>
        <w:trPr>
          <w:cantSplit/>
        </w:trPr>
        <w:tc>
          <w:tcPr>
            <w:tcW w:type="dxa" w:w="2450"/>
            <w:tcMar>
              <w:top w:w="80" w:type="dxa"/>
              <w:start w:w="120" w:type="dxa"/>
              <w:bottom w:w="80" w:type="dxa"/>
              <w:end w:w="120" w:type="dxa"/>
            </w:tcMar>
            <w:vAlign w:val="center"/>
          </w:tcPr>
          <w:p>
            <w:pPr>
              <w:pStyle w:val="TableText"/>
              <w:jc w:val="left"/>
            </w:pPr>
            <w:r>
              <w:rPr>
                <w:rFonts w:ascii="Calibri" w:hAnsi="Calibri" w:eastAsia="Calibri"/>
                <w:color w:val="000000"/>
                <w:sz w:val="18"/>
              </w:rPr>
              <w:t>Curriculum</w:t>
            </w:r>
          </w:p>
        </w:tc>
        <w:tc>
          <w:tcPr>
            <w:tcW w:type="dxa" w:w="2900"/>
            <w:tcMar>
              <w:top w:w="80" w:type="dxa"/>
              <w:start w:w="120" w:type="dxa"/>
              <w:bottom w:w="80" w:type="dxa"/>
              <w:end w:w="120" w:type="dxa"/>
            </w:tcMar>
            <w:vAlign w:val="center"/>
          </w:tcPr>
          <w:p>
            <w:pPr>
              <w:pStyle w:val="TableText"/>
              <w:jc w:val="left"/>
            </w:pPr>
            <w:r>
              <w:rPr>
                <w:rFonts w:ascii="Calibri" w:hAnsi="Calibri" w:eastAsia="Calibri"/>
                <w:color w:val="000000"/>
                <w:sz w:val="18"/>
              </w:rPr>
              <w:t>staged win length and radius; radius-6 stage</w:t>
            </w:r>
          </w:p>
        </w:tc>
        <w:tc>
          <w:tcPr>
            <w:tcW w:type="dxa" w:w="4010"/>
            <w:tcMar>
              <w:top w:w="80" w:type="dxa"/>
              <w:start w:w="120" w:type="dxa"/>
              <w:bottom w:w="80" w:type="dxa"/>
              <w:end w:w="120" w:type="dxa"/>
            </w:tcMar>
            <w:vAlign w:val="center"/>
          </w:tcPr>
          <w:p>
            <w:pPr>
              <w:pStyle w:val="TableText"/>
              <w:jc w:val="left"/>
            </w:pPr>
            <w:r>
              <w:rPr>
                <w:rFonts w:ascii="Calibri" w:hAnsi="Calibri" w:eastAsia="Calibri"/>
                <w:color w:val="000000"/>
                <w:sz w:val="18"/>
              </w:rPr>
              <w:t>single main-2 architecture warm start plus RL</w:t>
            </w:r>
          </w:p>
        </w:tc>
      </w:tr>
      <w:tr>
        <w:trPr>
          <w:cantSplit/>
        </w:trPr>
        <w:tc>
          <w:tcPr>
            <w:tcW w:type="dxa" w:w="24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Latest direction</w:t>
            </w:r>
          </w:p>
        </w:tc>
        <w:tc>
          <w:tcPr>
            <w:tcW w:type="dxa" w:w="29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fixed anchor</w:t>
            </w:r>
          </w:p>
        </w:tc>
        <w:tc>
          <w:tcPr>
            <w:tcW w:type="dxa" w:w="40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score rose from 10.9% at ep55 to 23.4% at ep70</w:t>
            </w:r>
          </w:p>
        </w:tc>
      </w:tr>
    </w:tbl>
    <w:p>
      <w:pPr>
        <w:pStyle w:val="SourceText"/>
        <w:spacing w:before="80"/>
      </w:pPr>
      <w:r>
        <w:rPr>
          <w:rFonts w:ascii="Calibri" w:hAnsi="Calibri" w:eastAsia="Calibri"/>
          <w:i/>
          <w:color w:val="5C6670"/>
          <w:sz w:val="17"/>
        </w:rPr>
        <w:t>Counts are metadata-based and approximately comparable. Graph edge budgets, accumulation, replay semantics, and target reuse differ. [S15-S17]</w:t>
      </w:r>
    </w:p>
    <w:p>
      <w:pPr>
        <w:pStyle w:val="Heading2"/>
      </w:pPr>
      <w:r>
        <w:t>Optimization warning signs</w:t>
      </w:r>
    </w:p>
    <w:p>
      <w:pPr>
        <w:numPr>
          <w:ilvl w:val="0"/>
          <w:numId w:val="10"/>
        </w:numPr>
        <w:spacing w:after="160" w:line="280" w:lineRule="auto"/>
      </w:pPr>
      <w:r>
        <w:rPr>
          <w:rFonts w:ascii="Calibri" w:hAnsi="Calibri" w:eastAsia="Calibri"/>
          <w:color w:val="000000"/>
          <w:sz w:val="22"/>
        </w:rPr>
        <w:t>Main-2 prefit logged clip_fraction=0.99625, infinite aggregate gradient norms, p95 gradient near 190, and register gradients far above convolution and attention groups. [S16]</w:t>
      </w:r>
    </w:p>
    <w:p>
      <w:pPr>
        <w:numPr>
          <w:ilvl w:val="0"/>
          <w:numId w:val="10"/>
        </w:numPr>
        <w:spacing w:after="160" w:line="280" w:lineRule="auto"/>
      </w:pPr>
      <w:r>
        <w:rPr>
          <w:rFonts w:ascii="Calibri" w:hAnsi="Calibri" w:eastAsia="Calibri"/>
          <w:color w:val="000000"/>
          <w:sz w:val="22"/>
        </w:rPr>
        <w:t>RL later stabilized, but the register lane remained one of the largest gradient groups and clipping remained nontrivial.</w:t>
      </w:r>
    </w:p>
    <w:p>
      <w:pPr>
        <w:numPr>
          <w:ilvl w:val="0"/>
          <w:numId w:val="10"/>
        </w:numPr>
        <w:spacing w:after="160" w:line="280" w:lineRule="auto"/>
      </w:pPr>
      <w:r>
        <w:rPr>
          <w:rFonts w:ascii="Calibri" w:hAnsi="Calibri" w:eastAsia="Calibri"/>
          <w:color w:val="000000"/>
          <w:sz w:val="22"/>
        </w:rPr>
        <w:t>The active main-3 additive ray-LUT prefit still shows clip_fraction=1.0 in several epochs and occasional infinite norms. The LUT may improve expressivity, but it has not resolved conditioning by itself. [S24]</w:t>
      </w:r>
    </w:p>
    <w:p>
      <w:pPr>
        <w:numPr>
          <w:ilvl w:val="0"/>
          <w:numId w:val="10"/>
        </w:numPr>
        <w:spacing w:after="160" w:line="280" w:lineRule="auto"/>
      </w:pPr>
      <w:r>
        <w:rPr>
          <w:rFonts w:ascii="Calibri" w:hAnsi="Calibri" w:eastAsia="Calibri"/>
          <w:color w:val="000000"/>
          <w:sz w:val="22"/>
        </w:rPr>
        <w:t>Main-2's late score recovery means the current architecture has not demonstrated a settled ceiling.</w:t>
      </w:r>
    </w:p>
    <w:p>
      <w:pPr>
        <w:pStyle w:val="Heading2"/>
      </w:pPr>
      <w:r>
        <w:t>Main-3 status</w:t>
      </w:r>
    </w:p>
    <w:p>
      <w:pPr>
        <w:pStyle w:val="Callout"/>
        <w:spacing w:before="120" w:after="200" w:line="269" w:lineRule="auto"/>
        <w:ind w:left="230" w:right="115"/>
        <w:shd w:fill="FFF4D6" w:val="clear"/>
        <w:pBdr>
          <w:left w:val="single" w:sz="22" w:space="8" w:color="9A6B00"/>
        </w:pBdr>
      </w:pPr>
      <w:r>
        <w:rPr>
          <w:rFonts w:ascii="Calibri" w:hAnsi="Calibri" w:eastAsia="Calibri"/>
          <w:b/>
          <w:color w:val="9A6B00"/>
          <w:sz w:val="21"/>
        </w:rPr>
        <w:t xml:space="preserve">DO NOT OVERCLAIM  </w:t>
      </w:r>
      <w:r>
        <w:rPr>
          <w:rFonts w:ascii="Calibri" w:hAnsi="Calibri" w:eastAsia="Calibri"/>
          <w:color w:val="172A3A"/>
          <w:sz w:val="21"/>
        </w:rPr>
        <w:t>Main-3 is running from an external worktree and warm-starts a 636,943-parameter additive ray-LUT prefit. At investigation time it had no completed self-play checkpoint or Strix edge. It is a proposed architectural change, not evidence that the gap is closed or unchanged. [S24]</w:t>
      </w:r>
    </w:p>
    <w:p>
      <w:pPr>
        <w:pStyle w:val="Heading1"/>
      </w:pPr>
      <w:r>
        <w:t>7. Ranked explanation of the gap</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650"/>
        <w:gridCol w:w="3000"/>
        <w:gridCol w:w="1300"/>
        <w:gridCol w:w="4410"/>
      </w:tblGrid>
      <w:tr>
        <w:trPr>
          <w:cantSplit/>
          <w:tblHeader w:val="true"/>
          <w:cantSplit/>
          <w:tblHeader w:val="true"/>
        </w:trPr>
        <w:tc>
          <w:tcPr>
            <w:tcW w:type="dxa" w:w="650"/>
            <w:tcMar>
              <w:top w:w="80" w:type="dxa"/>
              <w:start w:w="120" w:type="dxa"/>
              <w:bottom w:w="80" w:type="dxa"/>
              <w:end w:w="120" w:type="dxa"/>
            </w:tcMar>
            <w:vAlign w:val="center"/>
            <w:shd w:fill="F2F4F7" w:val="clear"/>
          </w:tcPr>
          <w:p>
            <w:pPr>
              <w:pStyle w:val="TableHeader"/>
              <w:jc w:val="center"/>
            </w:pPr>
            <w:r>
              <w:rPr>
                <w:rFonts w:ascii="Calibri" w:hAnsi="Calibri" w:eastAsia="Calibri"/>
                <w:b/>
                <w:color w:val="172A3A"/>
                <w:sz w:val="17"/>
              </w:rPr>
              <w:t>Rank</w:t>
            </w:r>
          </w:p>
        </w:tc>
        <w:tc>
          <w:tcPr>
            <w:tcW w:type="dxa" w:w="300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Factor</w:t>
            </w:r>
          </w:p>
        </w:tc>
        <w:tc>
          <w:tcPr>
            <w:tcW w:type="dxa" w:w="1300"/>
            <w:tcMar>
              <w:top w:w="80" w:type="dxa"/>
              <w:start w:w="120" w:type="dxa"/>
              <w:bottom w:w="80" w:type="dxa"/>
              <w:end w:w="120" w:type="dxa"/>
            </w:tcMar>
            <w:vAlign w:val="center"/>
            <w:shd w:fill="F2F4F7" w:val="clear"/>
          </w:tcPr>
          <w:p>
            <w:pPr>
              <w:pStyle w:val="TableHeader"/>
              <w:jc w:val="center"/>
            </w:pPr>
            <w:r>
              <w:rPr>
                <w:rFonts w:ascii="Calibri" w:hAnsi="Calibri" w:eastAsia="Calibri"/>
                <w:b/>
                <w:color w:val="172A3A"/>
                <w:sz w:val="17"/>
              </w:rPr>
              <w:t>Confidence</w:t>
            </w:r>
          </w:p>
        </w:tc>
        <w:tc>
          <w:tcPr>
            <w:tcW w:type="dxa" w:w="441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Reason</w:t>
            </w:r>
          </w:p>
        </w:tc>
      </w:tr>
      <w:tr>
        <w:trPr>
          <w:cantSplit/>
        </w:trPr>
        <w:tc>
          <w:tcPr>
            <w:tcW w:type="dxa" w:w="650"/>
            <w:tcMar>
              <w:top w:w="80" w:type="dxa"/>
              <w:start w:w="120" w:type="dxa"/>
              <w:bottom w:w="80" w:type="dxa"/>
              <w:end w:w="120" w:type="dxa"/>
            </w:tcMar>
            <w:vAlign w:val="center"/>
          </w:tcPr>
          <w:p>
            <w:pPr>
              <w:pStyle w:val="TableText"/>
              <w:jc w:val="center"/>
            </w:pPr>
            <w:r>
              <w:rPr>
                <w:rFonts w:ascii="Calibri" w:hAnsi="Calibri" w:eastAsia="Calibri"/>
                <w:color w:val="000000"/>
                <w:sz w:val="17"/>
              </w:rPr>
              <w:t>1</w:t>
            </w:r>
          </w:p>
        </w:tc>
        <w:tc>
          <w:tcPr>
            <w:tcW w:type="dxa" w:w="3000"/>
            <w:tcMar>
              <w:top w:w="80" w:type="dxa"/>
              <w:start w:w="120" w:type="dxa"/>
              <w:bottom w:w="80" w:type="dxa"/>
              <w:end w:w="120" w:type="dxa"/>
            </w:tcMar>
            <w:vAlign w:val="center"/>
          </w:tcPr>
          <w:p>
            <w:pPr>
              <w:pStyle w:val="TableText"/>
              <w:jc w:val="left"/>
            </w:pPr>
            <w:r>
              <w:rPr>
                <w:rFonts w:ascii="Calibri" w:hAnsi="Calibri" w:eastAsia="Calibri"/>
                <w:color w:val="000000"/>
                <w:sz w:val="17"/>
              </w:rPr>
              <w:t>Deep forcing solver in Strix search</w:t>
            </w:r>
          </w:p>
        </w:tc>
        <w:tc>
          <w:tcPr>
            <w:tcW w:type="dxa" w:w="1300"/>
            <w:tcMar>
              <w:top w:w="80" w:type="dxa"/>
              <w:start w:w="120" w:type="dxa"/>
              <w:bottom w:w="80" w:type="dxa"/>
              <w:end w:w="120" w:type="dxa"/>
            </w:tcMar>
            <w:vAlign w:val="center"/>
          </w:tcPr>
          <w:p>
            <w:pPr>
              <w:pStyle w:val="TableText"/>
              <w:jc w:val="center"/>
            </w:pPr>
            <w:r>
              <w:rPr>
                <w:rFonts w:ascii="Calibri" w:hAnsi="Calibri" w:eastAsia="Calibri"/>
                <w:color w:val="000000"/>
                <w:sz w:val="17"/>
              </w:rPr>
              <w:t>High</w:t>
            </w:r>
          </w:p>
        </w:tc>
        <w:tc>
          <w:tcPr>
            <w:tcW w:type="dxa" w:w="4410"/>
            <w:tcMar>
              <w:top w:w="80" w:type="dxa"/>
              <w:start w:w="120" w:type="dxa"/>
              <w:bottom w:w="80" w:type="dxa"/>
              <w:end w:w="120" w:type="dxa"/>
            </w:tcMar>
            <w:vAlign w:val="center"/>
          </w:tcPr>
          <w:p>
            <w:pPr>
              <w:pStyle w:val="TableText"/>
              <w:jc w:val="left"/>
            </w:pPr>
            <w:r>
              <w:rPr>
                <w:rFonts w:ascii="Calibri" w:hAnsi="Calibri" w:eastAsia="Calibri"/>
                <w:color w:val="000000"/>
                <w:sz w:val="17"/>
              </w:rPr>
              <w:t>Verified mechanism and 32.1% replay activation; Elo contribution unmeasured</w:t>
            </w:r>
          </w:p>
        </w:tc>
      </w:tr>
      <w:tr>
        <w:trPr>
          <w:cantSplit/>
        </w:trPr>
        <w:tc>
          <w:tcPr>
            <w:tcW w:type="dxa" w:w="6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7"/>
              </w:rPr>
              <w:t>2</w:t>
            </w:r>
          </w:p>
        </w:tc>
        <w:tc>
          <w:tcPr>
            <w:tcW w:type="dxa" w:w="30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Training/curriculum maturity</w:t>
            </w:r>
          </w:p>
        </w:tc>
        <w:tc>
          <w:tcPr>
            <w:tcW w:type="dxa" w:w="130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7"/>
              </w:rPr>
              <w:t>High</w:t>
            </w:r>
          </w:p>
        </w:tc>
        <w:tc>
          <w:tcPr>
            <w:tcW w:type="dxa" w:w="44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About 2x optimizer updates and about 4x nominal rows; late Hexfield recovery</w:t>
            </w:r>
          </w:p>
        </w:tc>
      </w:tr>
      <w:tr>
        <w:trPr>
          <w:cantSplit/>
        </w:trPr>
        <w:tc>
          <w:tcPr>
            <w:tcW w:type="dxa" w:w="650"/>
            <w:tcMar>
              <w:top w:w="80" w:type="dxa"/>
              <w:start w:w="120" w:type="dxa"/>
              <w:bottom w:w="80" w:type="dxa"/>
              <w:end w:w="120" w:type="dxa"/>
            </w:tcMar>
            <w:vAlign w:val="center"/>
          </w:tcPr>
          <w:p>
            <w:pPr>
              <w:pStyle w:val="TableText"/>
              <w:jc w:val="center"/>
            </w:pPr>
            <w:r>
              <w:rPr>
                <w:rFonts w:ascii="Calibri" w:hAnsi="Calibri" w:eastAsia="Calibri"/>
                <w:color w:val="000000"/>
                <w:sz w:val="17"/>
              </w:rPr>
              <w:t>3</w:t>
            </w:r>
          </w:p>
        </w:tc>
        <w:tc>
          <w:tcPr>
            <w:tcW w:type="dxa" w:w="3000"/>
            <w:tcMar>
              <w:top w:w="80" w:type="dxa"/>
              <w:start w:w="120" w:type="dxa"/>
              <w:bottom w:w="80" w:type="dxa"/>
              <w:end w:w="120" w:type="dxa"/>
            </w:tcMar>
            <w:vAlign w:val="center"/>
          </w:tcPr>
          <w:p>
            <w:pPr>
              <w:pStyle w:val="TableText"/>
              <w:jc w:val="left"/>
            </w:pPr>
            <w:r>
              <w:rPr>
                <w:rFonts w:ascii="Calibri" w:hAnsi="Calibri" w:eastAsia="Calibri"/>
                <w:color w:val="000000"/>
                <w:sz w:val="17"/>
              </w:rPr>
              <w:t>Line-graph GINE inductive bias</w:t>
            </w:r>
          </w:p>
        </w:tc>
        <w:tc>
          <w:tcPr>
            <w:tcW w:type="dxa" w:w="1300"/>
            <w:tcMar>
              <w:top w:w="80" w:type="dxa"/>
              <w:start w:w="120" w:type="dxa"/>
              <w:bottom w:w="80" w:type="dxa"/>
              <w:end w:w="120" w:type="dxa"/>
            </w:tcMar>
            <w:vAlign w:val="center"/>
          </w:tcPr>
          <w:p>
            <w:pPr>
              <w:pStyle w:val="TableText"/>
              <w:jc w:val="center"/>
            </w:pPr>
            <w:r>
              <w:rPr>
                <w:rFonts w:ascii="Calibri" w:hAnsi="Calibri" w:eastAsia="Calibri"/>
                <w:color w:val="000000"/>
                <w:sz w:val="17"/>
              </w:rPr>
              <w:t>High</w:t>
            </w:r>
          </w:p>
        </w:tc>
        <w:tc>
          <w:tcPr>
            <w:tcW w:type="dxa" w:w="4410"/>
            <w:tcMar>
              <w:top w:w="80" w:type="dxa"/>
              <w:start w:w="120" w:type="dxa"/>
              <w:bottom w:w="80" w:type="dxa"/>
              <w:end w:w="120" w:type="dxa"/>
            </w:tcMar>
            <w:vAlign w:val="center"/>
          </w:tcPr>
          <w:p>
            <w:pPr>
              <w:pStyle w:val="TableText"/>
              <w:jc w:val="left"/>
            </w:pPr>
            <w:r>
              <w:rPr>
                <w:rFonts w:ascii="Calibri" w:hAnsi="Calibri" w:eastAsia="Calibri"/>
                <w:color w:val="000000"/>
                <w:sz w:val="17"/>
              </w:rPr>
              <w:t>Win-length geometry and pre-sum nonlinear messages directly match tactics</w:t>
            </w:r>
          </w:p>
        </w:tc>
      </w:tr>
      <w:tr>
        <w:trPr>
          <w:cantSplit/>
        </w:trPr>
        <w:tc>
          <w:tcPr>
            <w:tcW w:type="dxa" w:w="6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7"/>
              </w:rPr>
              <w:t>4</w:t>
            </w:r>
          </w:p>
        </w:tc>
        <w:tc>
          <w:tcPr>
            <w:tcW w:type="dxa" w:w="30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Radius 4 vs. radius 6 action support</w:t>
            </w:r>
          </w:p>
        </w:tc>
        <w:tc>
          <w:tcPr>
            <w:tcW w:type="dxa" w:w="130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7"/>
              </w:rPr>
              <w:t>High</w:t>
            </w:r>
          </w:p>
        </w:tc>
        <w:tc>
          <w:tcPr>
            <w:tcW w:type="dxa" w:w="44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Verified hard candidate restriction; causal Elo unmeasured</w:t>
            </w:r>
          </w:p>
        </w:tc>
      </w:tr>
      <w:tr>
        <w:trPr>
          <w:cantSplit/>
        </w:trPr>
        <w:tc>
          <w:tcPr>
            <w:tcW w:type="dxa" w:w="650"/>
            <w:tcMar>
              <w:top w:w="80" w:type="dxa"/>
              <w:start w:w="120" w:type="dxa"/>
              <w:bottom w:w="80" w:type="dxa"/>
              <w:end w:w="120" w:type="dxa"/>
            </w:tcMar>
            <w:vAlign w:val="center"/>
          </w:tcPr>
          <w:p>
            <w:pPr>
              <w:pStyle w:val="TableText"/>
              <w:jc w:val="center"/>
            </w:pPr>
            <w:r>
              <w:rPr>
                <w:rFonts w:ascii="Calibri" w:hAnsi="Calibri" w:eastAsia="Calibri"/>
                <w:color w:val="000000"/>
                <w:sz w:val="17"/>
              </w:rPr>
              <w:t>5</w:t>
            </w:r>
          </w:p>
        </w:tc>
        <w:tc>
          <w:tcPr>
            <w:tcW w:type="dxa" w:w="3000"/>
            <w:tcMar>
              <w:top w:w="80" w:type="dxa"/>
              <w:start w:w="120" w:type="dxa"/>
              <w:bottom w:w="80" w:type="dxa"/>
              <w:end w:w="120" w:type="dxa"/>
            </w:tcMar>
            <w:vAlign w:val="center"/>
          </w:tcPr>
          <w:p>
            <w:pPr>
              <w:pStyle w:val="TableText"/>
              <w:jc w:val="left"/>
            </w:pPr>
            <w:r>
              <w:rPr>
                <w:rFonts w:ascii="Calibri" w:hAnsi="Calibri" w:eastAsia="Calibri"/>
                <w:color w:val="000000"/>
                <w:sz w:val="17"/>
              </w:rPr>
              <w:t>JK-cat versus final-only policy</w:t>
            </w:r>
          </w:p>
        </w:tc>
        <w:tc>
          <w:tcPr>
            <w:tcW w:type="dxa" w:w="1300"/>
            <w:tcMar>
              <w:top w:w="80" w:type="dxa"/>
              <w:start w:w="120" w:type="dxa"/>
              <w:bottom w:w="80" w:type="dxa"/>
              <w:end w:w="120" w:type="dxa"/>
            </w:tcMar>
            <w:vAlign w:val="center"/>
          </w:tcPr>
          <w:p>
            <w:pPr>
              <w:pStyle w:val="TableText"/>
              <w:jc w:val="center"/>
            </w:pPr>
            <w:r>
              <w:rPr>
                <w:rFonts w:ascii="Calibri" w:hAnsi="Calibri" w:eastAsia="Calibri"/>
                <w:color w:val="000000"/>
                <w:sz w:val="17"/>
              </w:rPr>
              <w:t>Medium-high</w:t>
            </w:r>
          </w:p>
        </w:tc>
        <w:tc>
          <w:tcPr>
            <w:tcW w:type="dxa" w:w="4410"/>
            <w:tcMar>
              <w:top w:w="80" w:type="dxa"/>
              <w:start w:w="120" w:type="dxa"/>
              <w:bottom w:w="80" w:type="dxa"/>
              <w:end w:w="120" w:type="dxa"/>
            </w:tcMar>
            <w:vAlign w:val="center"/>
          </w:tcPr>
          <w:p>
            <w:pPr>
              <w:pStyle w:val="TableText"/>
              <w:jc w:val="left"/>
            </w:pPr>
            <w:r>
              <w:rPr>
                <w:rFonts w:ascii="Calibri" w:hAnsi="Calibri" w:eastAsia="Calibri"/>
                <w:color w:val="000000"/>
                <w:sz w:val="17"/>
              </w:rPr>
              <w:t>Clear head-bandwidth and multiscale difference; needs ablation</w:t>
            </w:r>
          </w:p>
        </w:tc>
      </w:tr>
      <w:tr>
        <w:trPr>
          <w:cantSplit/>
        </w:trPr>
        <w:tc>
          <w:tcPr>
            <w:tcW w:type="dxa" w:w="6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7"/>
              </w:rPr>
              <w:t>6</w:t>
            </w:r>
          </w:p>
        </w:tc>
        <w:tc>
          <w:tcPr>
            <w:tcW w:type="dxa" w:w="30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Full regular-rep capacity allocation</w:t>
            </w:r>
          </w:p>
        </w:tc>
        <w:tc>
          <w:tcPr>
            <w:tcW w:type="dxa" w:w="130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7"/>
              </w:rPr>
              <w:t>Medium</w:t>
            </w:r>
          </w:p>
        </w:tc>
        <w:tc>
          <w:tcPr>
            <w:tcW w:type="dxa" w:w="44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Only 16 unique orbit channels at width 192; quotient design is untested</w:t>
            </w:r>
          </w:p>
        </w:tc>
      </w:tr>
      <w:tr>
        <w:trPr>
          <w:cantSplit/>
        </w:trPr>
        <w:tc>
          <w:tcPr>
            <w:tcW w:type="dxa" w:w="650"/>
            <w:tcMar>
              <w:top w:w="80" w:type="dxa"/>
              <w:start w:w="120" w:type="dxa"/>
              <w:bottom w:w="80" w:type="dxa"/>
              <w:end w:w="120" w:type="dxa"/>
            </w:tcMar>
            <w:vAlign w:val="center"/>
          </w:tcPr>
          <w:p>
            <w:pPr>
              <w:pStyle w:val="TableText"/>
              <w:jc w:val="center"/>
            </w:pPr>
            <w:r>
              <w:rPr>
                <w:rFonts w:ascii="Calibri" w:hAnsi="Calibri" w:eastAsia="Calibri"/>
                <w:color w:val="000000"/>
                <w:sz w:val="17"/>
              </w:rPr>
              <w:t>7</w:t>
            </w:r>
          </w:p>
        </w:tc>
        <w:tc>
          <w:tcPr>
            <w:tcW w:type="dxa" w:w="3000"/>
            <w:tcMar>
              <w:top w:w="80" w:type="dxa"/>
              <w:start w:w="120" w:type="dxa"/>
              <w:bottom w:w="80" w:type="dxa"/>
              <w:end w:w="120" w:type="dxa"/>
            </w:tcMar>
            <w:vAlign w:val="center"/>
          </w:tcPr>
          <w:p>
            <w:pPr>
              <w:pStyle w:val="TableText"/>
              <w:jc w:val="left"/>
            </w:pPr>
            <w:r>
              <w:rPr>
                <w:rFonts w:ascii="Calibri" w:hAnsi="Calibri" w:eastAsia="Calibri"/>
                <w:color w:val="000000"/>
                <w:sz w:val="17"/>
              </w:rPr>
              <w:t>Clipping, register scale, and many objectives</w:t>
            </w:r>
          </w:p>
        </w:tc>
        <w:tc>
          <w:tcPr>
            <w:tcW w:type="dxa" w:w="1300"/>
            <w:tcMar>
              <w:top w:w="80" w:type="dxa"/>
              <w:start w:w="120" w:type="dxa"/>
              <w:bottom w:w="80" w:type="dxa"/>
              <w:end w:w="120" w:type="dxa"/>
            </w:tcMar>
            <w:vAlign w:val="center"/>
          </w:tcPr>
          <w:p>
            <w:pPr>
              <w:pStyle w:val="TableText"/>
              <w:jc w:val="center"/>
            </w:pPr>
            <w:r>
              <w:rPr>
                <w:rFonts w:ascii="Calibri" w:hAnsi="Calibri" w:eastAsia="Calibri"/>
                <w:color w:val="000000"/>
                <w:sz w:val="17"/>
              </w:rPr>
              <w:t>Medium</w:t>
            </w:r>
          </w:p>
        </w:tc>
        <w:tc>
          <w:tcPr>
            <w:tcW w:type="dxa" w:w="4410"/>
            <w:tcMar>
              <w:top w:w="80" w:type="dxa"/>
              <w:start w:w="120" w:type="dxa"/>
              <w:bottom w:w="80" w:type="dxa"/>
              <w:end w:w="120" w:type="dxa"/>
            </w:tcMar>
            <w:vAlign w:val="center"/>
          </w:tcPr>
          <w:p>
            <w:pPr>
              <w:pStyle w:val="TableText"/>
              <w:jc w:val="left"/>
            </w:pPr>
            <w:r>
              <w:rPr>
                <w:rFonts w:ascii="Calibri" w:hAnsi="Calibri" w:eastAsia="Calibri"/>
                <w:color w:val="000000"/>
                <w:sz w:val="17"/>
              </w:rPr>
              <w:t>Strong telemetry warning; exact gradient conflict unmeasured</w:t>
            </w:r>
          </w:p>
        </w:tc>
      </w:tr>
      <w:tr>
        <w:trPr>
          <w:cantSplit/>
        </w:trPr>
        <w:tc>
          <w:tcPr>
            <w:tcW w:type="dxa" w:w="6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7"/>
              </w:rPr>
              <w:t>8</w:t>
            </w:r>
          </w:p>
        </w:tc>
        <w:tc>
          <w:tcPr>
            <w:tcW w:type="dxa" w:w="30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Pooling/background and boundary semantics</w:t>
            </w:r>
          </w:p>
        </w:tc>
        <w:tc>
          <w:tcPr>
            <w:tcW w:type="dxa" w:w="130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7"/>
              </w:rPr>
              <w:t>Low-medium</w:t>
            </w:r>
          </w:p>
        </w:tc>
        <w:tc>
          <w:tcPr>
            <w:tcW w:type="dxa" w:w="44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Verified mismatch; likely secondary</w:t>
            </w:r>
          </w:p>
        </w:tc>
      </w:tr>
    </w:tbl>
    <w:p>
      <w:pPr>
        <w:pStyle w:val="Heading1"/>
      </w:pPr>
      <w:r>
        <w:t>8. Recommended experiments and changes</w:t>
      </w:r>
    </w:p>
    <w:p>
      <w:r>
        <w:rPr>
          <w:rFonts w:ascii="Calibri" w:hAnsi="Calibri" w:eastAsia="Calibri"/>
          <w:color w:val="000000"/>
          <w:sz w:val="22"/>
        </w:rPr>
        <w:t>The sequence below is designed to buy information before committing to a large rewrite. P0 items repair attribution and reproducibility; P1 items test the largest verified restrictions; P2 items test the strongest architectural hypotheses.</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850"/>
        <w:gridCol w:w="2350"/>
        <w:gridCol w:w="3150"/>
        <w:gridCol w:w="3010"/>
      </w:tblGrid>
      <w:tr>
        <w:trPr>
          <w:cantSplit/>
          <w:tblHeader w:val="true"/>
          <w:cantSplit/>
          <w:tblHeader w:val="true"/>
        </w:trPr>
        <w:tc>
          <w:tcPr>
            <w:tcW w:type="dxa" w:w="850"/>
            <w:tcMar>
              <w:top w:w="80" w:type="dxa"/>
              <w:start w:w="120" w:type="dxa"/>
              <w:bottom w:w="80" w:type="dxa"/>
              <w:end w:w="120" w:type="dxa"/>
            </w:tcMar>
            <w:vAlign w:val="center"/>
            <w:shd w:fill="E8EEF5" w:val="clear"/>
          </w:tcPr>
          <w:p>
            <w:pPr>
              <w:pStyle w:val="TableHeader"/>
              <w:jc w:val="center"/>
            </w:pPr>
            <w:r>
              <w:rPr>
                <w:rFonts w:ascii="Calibri" w:hAnsi="Calibri" w:eastAsia="Calibri"/>
                <w:b/>
                <w:color w:val="172A3A"/>
                <w:sz w:val="16"/>
              </w:rPr>
              <w:t>Priority</w:t>
            </w:r>
          </w:p>
        </w:tc>
        <w:tc>
          <w:tcPr>
            <w:tcW w:type="dxa" w:w="2350"/>
            <w:tcMar>
              <w:top w:w="80" w:type="dxa"/>
              <w:start w:w="120" w:type="dxa"/>
              <w:bottom w:w="80" w:type="dxa"/>
              <w:end w:w="120" w:type="dxa"/>
            </w:tcMar>
            <w:vAlign w:val="center"/>
            <w:shd w:fill="E8EEF5" w:val="clear"/>
          </w:tcPr>
          <w:p>
            <w:pPr>
              <w:pStyle w:val="TableHeader"/>
              <w:jc w:val="left"/>
            </w:pPr>
            <w:r>
              <w:rPr>
                <w:rFonts w:ascii="Calibri" w:hAnsi="Calibri" w:eastAsia="Calibri"/>
                <w:b/>
                <w:color w:val="172A3A"/>
                <w:sz w:val="16"/>
              </w:rPr>
              <w:t>Experiment</w:t>
            </w:r>
          </w:p>
        </w:tc>
        <w:tc>
          <w:tcPr>
            <w:tcW w:type="dxa" w:w="3150"/>
            <w:tcMar>
              <w:top w:w="80" w:type="dxa"/>
              <w:start w:w="120" w:type="dxa"/>
              <w:bottom w:w="80" w:type="dxa"/>
              <w:end w:w="120" w:type="dxa"/>
            </w:tcMar>
            <w:vAlign w:val="center"/>
            <w:shd w:fill="E8EEF5" w:val="clear"/>
          </w:tcPr>
          <w:p>
            <w:pPr>
              <w:pStyle w:val="TableHeader"/>
              <w:jc w:val="left"/>
            </w:pPr>
            <w:r>
              <w:rPr>
                <w:rFonts w:ascii="Calibri" w:hAnsi="Calibri" w:eastAsia="Calibri"/>
                <w:b/>
                <w:color w:val="172A3A"/>
                <w:sz w:val="16"/>
              </w:rPr>
              <w:t>Implementation</w:t>
            </w:r>
          </w:p>
        </w:tc>
        <w:tc>
          <w:tcPr>
            <w:tcW w:type="dxa" w:w="3010"/>
            <w:tcMar>
              <w:top w:w="80" w:type="dxa"/>
              <w:start w:w="120" w:type="dxa"/>
              <w:bottom w:w="80" w:type="dxa"/>
              <w:end w:w="120" w:type="dxa"/>
            </w:tcMar>
            <w:vAlign w:val="center"/>
            <w:shd w:fill="E8EEF5" w:val="clear"/>
          </w:tcPr>
          <w:p>
            <w:pPr>
              <w:pStyle w:val="TableHeader"/>
              <w:jc w:val="left"/>
            </w:pPr>
            <w:r>
              <w:rPr>
                <w:rFonts w:ascii="Calibri" w:hAnsi="Calibri" w:eastAsia="Calibri"/>
                <w:b/>
                <w:color w:val="172A3A"/>
                <w:sz w:val="16"/>
              </w:rPr>
              <w:t>Decision signal</w:t>
            </w:r>
          </w:p>
        </w:tc>
      </w:tr>
      <w:tr>
        <w:trPr>
          <w:cantSplit/>
        </w:trPr>
        <w:tc>
          <w:tcPr>
            <w:tcW w:type="dxa" w:w="850"/>
            <w:tcMar>
              <w:top w:w="80" w:type="dxa"/>
              <w:start w:w="120" w:type="dxa"/>
              <w:bottom w:w="80" w:type="dxa"/>
              <w:end w:w="120" w:type="dxa"/>
            </w:tcMar>
            <w:vAlign w:val="center"/>
          </w:tcPr>
          <w:p>
            <w:pPr>
              <w:pStyle w:val="TableText"/>
              <w:jc w:val="center"/>
            </w:pPr>
            <w:r>
              <w:rPr>
                <w:rFonts w:ascii="Calibri" w:hAnsi="Calibri" w:eastAsia="Calibri"/>
                <w:color w:val="000000"/>
                <w:sz w:val="16"/>
              </w:rPr>
              <w:t>P0</w:t>
            </w:r>
          </w:p>
        </w:tc>
        <w:tc>
          <w:tcPr>
            <w:tcW w:type="dxa" w:w="2350"/>
            <w:tcMar>
              <w:top w:w="80" w:type="dxa"/>
              <w:start w:w="120" w:type="dxa"/>
              <w:bottom w:w="80" w:type="dxa"/>
              <w:end w:w="120" w:type="dxa"/>
            </w:tcMar>
            <w:vAlign w:val="center"/>
          </w:tcPr>
          <w:p>
            <w:pPr>
              <w:pStyle w:val="TableText"/>
              <w:jc w:val="left"/>
            </w:pPr>
            <w:r>
              <w:rPr>
                <w:rFonts w:ascii="Calibri" w:hAnsi="Calibri" w:eastAsia="Calibri"/>
                <w:color w:val="000000"/>
                <w:sz w:val="16"/>
              </w:rPr>
              <w:t>Pin and expose the Strix solver</w:t>
            </w:r>
          </w:p>
        </w:tc>
        <w:tc>
          <w:tcPr>
            <w:tcW w:type="dxa" w:w="3150"/>
            <w:tcMar>
              <w:top w:w="80" w:type="dxa"/>
              <w:start w:w="120" w:type="dxa"/>
              <w:bottom w:w="80" w:type="dxa"/>
              <w:end w:w="120" w:type="dxa"/>
            </w:tcMar>
            <w:vAlign w:val="center"/>
          </w:tcPr>
          <w:p>
            <w:pPr>
              <w:pStyle w:val="TableText"/>
              <w:jc w:val="left"/>
            </w:pPr>
            <w:r>
              <w:rPr>
                <w:rFonts w:ascii="Calibri" w:hAnsi="Calibri" w:eastAsia="Calibri"/>
                <w:color w:val="000000"/>
                <w:sz w:val="16"/>
              </w:rPr>
              <w:t>Build from a recorded commit; add forcing on/off config and activation logging</w:t>
            </w:r>
          </w:p>
        </w:tc>
        <w:tc>
          <w:tcPr>
            <w:tcW w:type="dxa" w:w="3010"/>
            <w:tcMar>
              <w:top w:w="80" w:type="dxa"/>
              <w:start w:w="120" w:type="dxa"/>
              <w:bottom w:w="80" w:type="dxa"/>
              <w:end w:w="120" w:type="dxa"/>
            </w:tcMar>
            <w:vAlign w:val="center"/>
          </w:tcPr>
          <w:p>
            <w:pPr>
              <w:pStyle w:val="TableText"/>
              <w:jc w:val="left"/>
            </w:pPr>
            <w:r>
              <w:rPr>
                <w:rFonts w:ascii="Calibri" w:hAnsi="Calibri" w:eastAsia="Calibri"/>
                <w:color w:val="000000"/>
                <w:sz w:val="16"/>
              </w:rPr>
              <w:t>Separates tactical-oracle gain and makes the anchor reproducible</w:t>
            </w:r>
          </w:p>
        </w:tc>
      </w:tr>
      <w:tr>
        <w:trPr>
          <w:cantSplit/>
        </w:trPr>
        <w:tc>
          <w:tcPr>
            <w:tcW w:type="dxa" w:w="8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6"/>
              </w:rPr>
              <w:t>P0</w:t>
            </w:r>
          </w:p>
        </w:tc>
        <w:tc>
          <w:tcPr>
            <w:tcW w:type="dxa" w:w="23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Fix evaluation accounting</w:t>
            </w:r>
          </w:p>
        </w:tc>
        <w:tc>
          <w:tcPr>
            <w:tcW w:type="dxa" w:w="31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Merge checkpoint aliases, correct partial pairs, report direct paired scores</w:t>
            </w:r>
          </w:p>
        </w:tc>
        <w:tc>
          <w:tcPr>
            <w:tcW w:type="dxa" w:w="30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Removes pooled-Elo identity artifacts</w:t>
            </w:r>
          </w:p>
        </w:tc>
      </w:tr>
      <w:tr>
        <w:trPr>
          <w:cantSplit/>
        </w:trPr>
        <w:tc>
          <w:tcPr>
            <w:tcW w:type="dxa" w:w="850"/>
            <w:tcMar>
              <w:top w:w="80" w:type="dxa"/>
              <w:start w:w="120" w:type="dxa"/>
              <w:bottom w:w="80" w:type="dxa"/>
              <w:end w:w="120" w:type="dxa"/>
            </w:tcMar>
            <w:vAlign w:val="center"/>
          </w:tcPr>
          <w:p>
            <w:pPr>
              <w:pStyle w:val="TableText"/>
              <w:jc w:val="center"/>
            </w:pPr>
            <w:r>
              <w:rPr>
                <w:rFonts w:ascii="Calibri" w:hAnsi="Calibri" w:eastAsia="Calibri"/>
                <w:color w:val="000000"/>
                <w:sz w:val="16"/>
              </w:rPr>
              <w:t>P0</w:t>
            </w:r>
          </w:p>
        </w:tc>
        <w:tc>
          <w:tcPr>
            <w:tcW w:type="dxa" w:w="2350"/>
            <w:tcMar>
              <w:top w:w="80" w:type="dxa"/>
              <w:start w:w="120" w:type="dxa"/>
              <w:bottom w:w="80" w:type="dxa"/>
              <w:end w:w="120" w:type="dxa"/>
            </w:tcMar>
            <w:vAlign w:val="center"/>
          </w:tcPr>
          <w:p>
            <w:pPr>
              <w:pStyle w:val="TableText"/>
              <w:jc w:val="left"/>
            </w:pPr>
            <w:r>
              <w:rPr>
                <w:rFonts w:ascii="Calibri" w:hAnsi="Calibri" w:eastAsia="Calibri"/>
                <w:color w:val="000000"/>
                <w:sz w:val="16"/>
              </w:rPr>
              <w:t>Use neutral stored openings</w:t>
            </w:r>
          </w:p>
        </w:tc>
        <w:tc>
          <w:tcPr>
            <w:tcW w:type="dxa" w:w="3150"/>
            <w:tcMar>
              <w:top w:w="80" w:type="dxa"/>
              <w:start w:w="120" w:type="dxa"/>
              <w:bottom w:w="80" w:type="dxa"/>
              <w:end w:w="120" w:type="dxa"/>
            </w:tcMar>
            <w:vAlign w:val="center"/>
          </w:tcPr>
          <w:p>
            <w:pPr>
              <w:pStyle w:val="TableText"/>
              <w:jc w:val="left"/>
            </w:pPr>
            <w:r>
              <w:rPr>
                <w:rFonts w:ascii="Calibri" w:hAnsi="Calibri" w:eastAsia="Calibri"/>
                <w:color w:val="000000"/>
                <w:sz w:val="16"/>
              </w:rPr>
              <w:t>Pre-generate an opening book independent of either candidate</w:t>
            </w:r>
          </w:p>
        </w:tc>
        <w:tc>
          <w:tcPr>
            <w:tcW w:type="dxa" w:w="3010"/>
            <w:tcMar>
              <w:top w:w="80" w:type="dxa"/>
              <w:start w:w="120" w:type="dxa"/>
              <w:bottom w:w="80" w:type="dxa"/>
              <w:end w:w="120" w:type="dxa"/>
            </w:tcMar>
            <w:vAlign w:val="center"/>
          </w:tcPr>
          <w:p>
            <w:pPr>
              <w:pStyle w:val="TableText"/>
              <w:jc w:val="left"/>
            </w:pPr>
            <w:r>
              <w:rPr>
                <w:rFonts w:ascii="Calibri" w:hAnsi="Calibri" w:eastAsia="Calibri"/>
                <w:color w:val="000000"/>
                <w:sz w:val="16"/>
              </w:rPr>
              <w:t>Removes endogenous-opening ambiguity</w:t>
            </w:r>
          </w:p>
        </w:tc>
      </w:tr>
      <w:tr>
        <w:trPr>
          <w:cantSplit/>
        </w:trPr>
        <w:tc>
          <w:tcPr>
            <w:tcW w:type="dxa" w:w="8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6"/>
              </w:rPr>
              <w:t>P1</w:t>
            </w:r>
          </w:p>
        </w:tc>
        <w:tc>
          <w:tcPr>
            <w:tcW w:type="dxa" w:w="23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Run solver-controlled comparisons</w:t>
            </w:r>
          </w:p>
        </w:tc>
        <w:tc>
          <w:tcPr>
            <w:tcW w:type="dxa" w:w="31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Current Strix, Strix forcing-off, and ideally both bots with the same tactical layer</w:t>
            </w:r>
          </w:p>
        </w:tc>
        <w:tc>
          <w:tcPr>
            <w:tcW w:type="dxa" w:w="30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Partitions deployed-system gain from ordinary search and solver gain</w:t>
            </w:r>
          </w:p>
        </w:tc>
      </w:tr>
      <w:tr>
        <w:trPr>
          <w:cantSplit/>
        </w:trPr>
        <w:tc>
          <w:tcPr>
            <w:tcW w:type="dxa" w:w="850"/>
            <w:tcMar>
              <w:top w:w="80" w:type="dxa"/>
              <w:start w:w="120" w:type="dxa"/>
              <w:bottom w:w="80" w:type="dxa"/>
              <w:end w:w="120" w:type="dxa"/>
            </w:tcMar>
            <w:vAlign w:val="center"/>
          </w:tcPr>
          <w:p>
            <w:pPr>
              <w:pStyle w:val="TableText"/>
              <w:jc w:val="center"/>
            </w:pPr>
            <w:r>
              <w:rPr>
                <w:rFonts w:ascii="Calibri" w:hAnsi="Calibri" w:eastAsia="Calibri"/>
                <w:color w:val="000000"/>
                <w:sz w:val="16"/>
              </w:rPr>
              <w:t>P1</w:t>
            </w:r>
          </w:p>
        </w:tc>
        <w:tc>
          <w:tcPr>
            <w:tcW w:type="dxa" w:w="2350"/>
            <w:tcMar>
              <w:top w:w="80" w:type="dxa"/>
              <w:start w:w="120" w:type="dxa"/>
              <w:bottom w:w="80" w:type="dxa"/>
              <w:end w:w="120" w:type="dxa"/>
            </w:tcMar>
            <w:vAlign w:val="center"/>
          </w:tcPr>
          <w:p>
            <w:pPr>
              <w:pStyle w:val="TableText"/>
              <w:jc w:val="left"/>
            </w:pPr>
            <w:r>
              <w:rPr>
                <w:rFonts w:ascii="Calibri" w:hAnsi="Calibri" w:eastAsia="Calibri"/>
                <w:color w:val="000000"/>
                <w:sz w:val="16"/>
              </w:rPr>
              <w:t>Run network-only probes</w:t>
            </w:r>
          </w:p>
        </w:tc>
        <w:tc>
          <w:tcPr>
            <w:tcW w:type="dxa" w:w="3150"/>
            <w:tcMar>
              <w:top w:w="80" w:type="dxa"/>
              <w:start w:w="120" w:type="dxa"/>
              <w:bottom w:w="80" w:type="dxa"/>
              <w:end w:w="120" w:type="dxa"/>
            </w:tcMar>
            <w:vAlign w:val="center"/>
          </w:tcPr>
          <w:p>
            <w:pPr>
              <w:pStyle w:val="TableText"/>
              <w:jc w:val="left"/>
            </w:pPr>
            <w:r>
              <w:rPr>
                <w:rFonts w:ascii="Calibri" w:hAnsi="Calibri" w:eastAsia="Calibri"/>
                <w:color w:val="000000"/>
                <w:sz w:val="16"/>
              </w:rPr>
              <w:t>Raw policy and small solver-free search on a fixed tactical/quiet corpus</w:t>
            </w:r>
          </w:p>
        </w:tc>
        <w:tc>
          <w:tcPr>
            <w:tcW w:type="dxa" w:w="3010"/>
            <w:tcMar>
              <w:top w:w="80" w:type="dxa"/>
              <w:start w:w="120" w:type="dxa"/>
              <w:bottom w:w="80" w:type="dxa"/>
              <w:end w:w="120" w:type="dxa"/>
            </w:tcMar>
            <w:vAlign w:val="center"/>
          </w:tcPr>
          <w:p>
            <w:pPr>
              <w:pStyle w:val="TableText"/>
              <w:jc w:val="left"/>
            </w:pPr>
            <w:r>
              <w:rPr>
                <w:rFonts w:ascii="Calibri" w:hAnsi="Calibri" w:eastAsia="Calibri"/>
                <w:color w:val="000000"/>
                <w:sz w:val="16"/>
              </w:rPr>
              <w:t>Measures network quality without search-system confounds</w:t>
            </w:r>
          </w:p>
        </w:tc>
      </w:tr>
      <w:tr>
        <w:trPr>
          <w:cantSplit/>
        </w:trPr>
        <w:tc>
          <w:tcPr>
            <w:tcW w:type="dxa" w:w="8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6"/>
              </w:rPr>
              <w:t>P1</w:t>
            </w:r>
          </w:p>
        </w:tc>
        <w:tc>
          <w:tcPr>
            <w:tcW w:type="dxa" w:w="23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Move Hexfield action support to radius 6</w:t>
            </w:r>
          </w:p>
        </w:tc>
        <w:tc>
          <w:tcPr>
            <w:tcW w:type="dxa" w:w="31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Evaluate/retrain with R6 while retaining force-injected tactical cells</w:t>
            </w:r>
          </w:p>
        </w:tc>
        <w:tc>
          <w:tcPr>
            <w:tcW w:type="dxa" w:w="30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Tests the simplest verified hard handicap</w:t>
            </w:r>
          </w:p>
        </w:tc>
      </w:tr>
      <w:tr>
        <w:trPr>
          <w:cantSplit/>
        </w:trPr>
        <w:tc>
          <w:tcPr>
            <w:tcW w:type="dxa" w:w="850"/>
            <w:tcMar>
              <w:top w:w="80" w:type="dxa"/>
              <w:start w:w="120" w:type="dxa"/>
              <w:bottom w:w="80" w:type="dxa"/>
              <w:end w:w="120" w:type="dxa"/>
            </w:tcMar>
            <w:vAlign w:val="center"/>
          </w:tcPr>
          <w:p>
            <w:pPr>
              <w:pStyle w:val="TableText"/>
              <w:jc w:val="center"/>
            </w:pPr>
            <w:r>
              <w:rPr>
                <w:rFonts w:ascii="Calibri" w:hAnsi="Calibri" w:eastAsia="Calibri"/>
                <w:color w:val="000000"/>
                <w:sz w:val="16"/>
              </w:rPr>
              <w:t>P2</w:t>
            </w:r>
          </w:p>
        </w:tc>
        <w:tc>
          <w:tcPr>
            <w:tcW w:type="dxa" w:w="2350"/>
            <w:tcMar>
              <w:top w:w="80" w:type="dxa"/>
              <w:start w:w="120" w:type="dxa"/>
              <w:bottom w:w="80" w:type="dxa"/>
              <w:end w:w="120" w:type="dxa"/>
            </w:tcMar>
            <w:vAlign w:val="center"/>
          </w:tcPr>
          <w:p>
            <w:pPr>
              <w:pStyle w:val="TableText"/>
              <w:jc w:val="left"/>
            </w:pPr>
            <w:r>
              <w:rPr>
                <w:rFonts w:ascii="Calibri" w:hAnsi="Calibri" w:eastAsia="Calibri"/>
                <w:color w:val="000000"/>
                <w:sz w:val="16"/>
              </w:rPr>
              <w:t>Add JK-style policy access</w:t>
            </w:r>
          </w:p>
        </w:tc>
        <w:tc>
          <w:tcPr>
            <w:tcW w:type="dxa" w:w="3150"/>
            <w:tcMar>
              <w:top w:w="80" w:type="dxa"/>
              <w:start w:w="120" w:type="dxa"/>
              <w:bottom w:w="80" w:type="dxa"/>
              <w:end w:w="120" w:type="dxa"/>
            </w:tcMar>
            <w:vAlign w:val="center"/>
          </w:tcPr>
          <w:p>
            <w:pPr>
              <w:pStyle w:val="TableText"/>
              <w:jc w:val="left"/>
            </w:pPr>
            <w:r>
              <w:rPr>
                <w:rFonts w:ascii="Calibri" w:hAnsi="Calibri" w:eastAsia="Calibri"/>
                <w:color w:val="000000"/>
                <w:sz w:val="16"/>
              </w:rPr>
              <w:t>Concatenate or gate features from every C/A stage; widen invariant read</w:t>
            </w:r>
          </w:p>
        </w:tc>
        <w:tc>
          <w:tcPr>
            <w:tcW w:type="dxa" w:w="3010"/>
            <w:tcMar>
              <w:top w:w="80" w:type="dxa"/>
              <w:start w:w="120" w:type="dxa"/>
              <w:bottom w:w="80" w:type="dxa"/>
              <w:end w:w="120" w:type="dxa"/>
            </w:tcMar>
            <w:vAlign w:val="center"/>
          </w:tcPr>
          <w:p>
            <w:pPr>
              <w:pStyle w:val="TableText"/>
              <w:jc w:val="left"/>
            </w:pPr>
            <w:r>
              <w:rPr>
                <w:rFonts w:ascii="Calibri" w:hAnsi="Calibri" w:eastAsia="Calibri"/>
                <w:color w:val="000000"/>
                <w:sz w:val="16"/>
              </w:rPr>
              <w:t>Tests multiscale head bandwidth and oversmoothing</w:t>
            </w:r>
          </w:p>
        </w:tc>
      </w:tr>
      <w:tr>
        <w:trPr>
          <w:cantSplit/>
        </w:trPr>
        <w:tc>
          <w:tcPr>
            <w:tcW w:type="dxa" w:w="8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6"/>
              </w:rPr>
              <w:t>P2</w:t>
            </w:r>
          </w:p>
        </w:tc>
        <w:tc>
          <w:tcPr>
            <w:tcW w:type="dxa" w:w="23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Use nonlinear distance-conditioned messages</w:t>
            </w:r>
          </w:p>
        </w:tc>
        <w:tc>
          <w:tcPr>
            <w:tcW w:type="dxa" w:w="31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Preserve distance, direction, reach, player, and source content until after nonlinearity</w:t>
            </w:r>
          </w:p>
        </w:tc>
        <w:tc>
          <w:tcPr>
            <w:tcW w:type="dxa" w:w="30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Tests the central GINE-vs-ray-collapse hypothesis</w:t>
            </w:r>
          </w:p>
        </w:tc>
      </w:tr>
      <w:tr>
        <w:trPr>
          <w:cantSplit/>
        </w:trPr>
        <w:tc>
          <w:tcPr>
            <w:tcW w:type="dxa" w:w="850"/>
            <w:tcMar>
              <w:top w:w="80" w:type="dxa"/>
              <w:start w:w="120" w:type="dxa"/>
              <w:bottom w:w="80" w:type="dxa"/>
              <w:end w:w="120" w:type="dxa"/>
            </w:tcMar>
            <w:vAlign w:val="center"/>
          </w:tcPr>
          <w:p>
            <w:pPr>
              <w:pStyle w:val="TableText"/>
              <w:jc w:val="center"/>
            </w:pPr>
            <w:r>
              <w:rPr>
                <w:rFonts w:ascii="Calibri" w:hAnsi="Calibri" w:eastAsia="Calibri"/>
                <w:color w:val="000000"/>
                <w:sz w:val="16"/>
              </w:rPr>
              <w:t>P2</w:t>
            </w:r>
          </w:p>
        </w:tc>
        <w:tc>
          <w:tcPr>
            <w:tcW w:type="dxa" w:w="2350"/>
            <w:tcMar>
              <w:top w:w="80" w:type="dxa"/>
              <w:start w:w="120" w:type="dxa"/>
              <w:bottom w:w="80" w:type="dxa"/>
              <w:end w:w="120" w:type="dxa"/>
            </w:tcMar>
            <w:vAlign w:val="center"/>
          </w:tcPr>
          <w:p>
            <w:pPr>
              <w:pStyle w:val="TableText"/>
              <w:jc w:val="left"/>
            </w:pPr>
            <w:r>
              <w:rPr>
                <w:rFonts w:ascii="Calibri" w:hAnsi="Calibri" w:eastAsia="Calibri"/>
                <w:color w:val="000000"/>
                <w:sz w:val="16"/>
              </w:rPr>
              <w:t>Adopt mixed quotient representations</w:t>
            </w:r>
          </w:p>
        </w:tc>
        <w:tc>
          <w:tcPr>
            <w:tcW w:type="dxa" w:w="3150"/>
            <w:tcMar>
              <w:top w:w="80" w:type="dxa"/>
              <w:start w:w="120" w:type="dxa"/>
              <w:bottom w:w="80" w:type="dxa"/>
              <w:end w:w="120" w:type="dxa"/>
            </w:tcMar>
            <w:vAlign w:val="center"/>
          </w:tcPr>
          <w:p>
            <w:pPr>
              <w:pStyle w:val="TableText"/>
              <w:jc w:val="left"/>
            </w:pPr>
            <w:r>
              <w:rPr>
                <w:rFonts w:ascii="Calibri" w:hAnsi="Calibri" w:eastAsia="Calibri"/>
                <w:color w:val="000000"/>
                <w:sz w:val="16"/>
              </w:rPr>
              <w:t>Use 1/3/6/12-slot types by feature semantics</w:t>
            </w:r>
          </w:p>
        </w:tc>
        <w:tc>
          <w:tcPr>
            <w:tcW w:type="dxa" w:w="3010"/>
            <w:tcMar>
              <w:top w:w="80" w:type="dxa"/>
              <w:start w:w="120" w:type="dxa"/>
              <w:bottom w:w="80" w:type="dxa"/>
              <w:end w:w="120" w:type="dxa"/>
            </w:tcMar>
            <w:vAlign w:val="center"/>
          </w:tcPr>
          <w:p>
            <w:pPr>
              <w:pStyle w:val="TableText"/>
              <w:jc w:val="left"/>
            </w:pPr>
            <w:r>
              <w:rPr>
                <w:rFonts w:ascii="Calibri" w:hAnsi="Calibri" w:eastAsia="Calibri"/>
                <w:color w:val="000000"/>
                <w:sz w:val="16"/>
              </w:rPr>
              <w:t>Retains exact D6 while increasing useful multiplicity per FLOP</w:t>
            </w:r>
          </w:p>
        </w:tc>
      </w:tr>
      <w:tr>
        <w:trPr>
          <w:cantSplit/>
        </w:trPr>
        <w:tc>
          <w:tcPr>
            <w:tcW w:type="dxa" w:w="850"/>
            <w:shd w:fill="FAFBFC" w:val="clear"/>
            <w:tcMar>
              <w:top w:w="80" w:type="dxa"/>
              <w:start w:w="120" w:type="dxa"/>
              <w:bottom w:w="80" w:type="dxa"/>
              <w:end w:w="120" w:type="dxa"/>
            </w:tcMar>
            <w:vAlign w:val="center"/>
          </w:tcPr>
          <w:p>
            <w:pPr>
              <w:pStyle w:val="TableText"/>
              <w:jc w:val="center"/>
            </w:pPr>
            <w:r>
              <w:rPr>
                <w:rFonts w:ascii="Calibri" w:hAnsi="Calibri" w:eastAsia="Calibri"/>
                <w:color w:val="000000"/>
                <w:sz w:val="16"/>
              </w:rPr>
              <w:t>P2</w:t>
            </w:r>
          </w:p>
        </w:tc>
        <w:tc>
          <w:tcPr>
            <w:tcW w:type="dxa" w:w="23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Stabilize register and objective mix</w:t>
            </w:r>
          </w:p>
        </w:tc>
        <w:tc>
          <w:tcPr>
            <w:tcW w:type="dxa" w:w="31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Normalize count sums, revisit LayerScale/LR, ablate auxiliaries or balance gradients</w:t>
            </w:r>
          </w:p>
        </w:tc>
        <w:tc>
          <w:tcPr>
            <w:tcW w:type="dxa" w:w="30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6"/>
              </w:rPr>
              <w:t>Tests whether optimization rather than representation is limiting</w:t>
            </w:r>
          </w:p>
        </w:tc>
      </w:tr>
      <w:tr>
        <w:trPr>
          <w:cantSplit/>
        </w:trPr>
        <w:tc>
          <w:tcPr>
            <w:tcW w:type="dxa" w:w="850"/>
            <w:tcMar>
              <w:top w:w="80" w:type="dxa"/>
              <w:start w:w="120" w:type="dxa"/>
              <w:bottom w:w="80" w:type="dxa"/>
              <w:end w:w="120" w:type="dxa"/>
            </w:tcMar>
            <w:vAlign w:val="center"/>
          </w:tcPr>
          <w:p>
            <w:pPr>
              <w:pStyle w:val="TableText"/>
              <w:jc w:val="center"/>
            </w:pPr>
            <w:r>
              <w:rPr>
                <w:rFonts w:ascii="Calibri" w:hAnsi="Calibri" w:eastAsia="Calibri"/>
                <w:color w:val="000000"/>
                <w:sz w:val="16"/>
              </w:rPr>
              <w:t>P3</w:t>
            </w:r>
          </w:p>
        </w:tc>
        <w:tc>
          <w:tcPr>
            <w:tcW w:type="dxa" w:w="2350"/>
            <w:tcMar>
              <w:top w:w="80" w:type="dxa"/>
              <w:start w:w="120" w:type="dxa"/>
              <w:bottom w:w="80" w:type="dxa"/>
              <w:end w:w="120" w:type="dxa"/>
            </w:tcMar>
            <w:vAlign w:val="center"/>
          </w:tcPr>
          <w:p>
            <w:pPr>
              <w:pStyle w:val="TableText"/>
              <w:jc w:val="left"/>
            </w:pPr>
            <w:r>
              <w:rPr>
                <w:rFonts w:ascii="Calibri" w:hAnsi="Calibri" w:eastAsia="Calibri"/>
                <w:color w:val="000000"/>
                <w:sz w:val="16"/>
              </w:rPr>
              <w:t>Train a maturity-matched baseline</w:t>
            </w:r>
          </w:p>
        </w:tc>
        <w:tc>
          <w:tcPr>
            <w:tcW w:type="dxa" w:w="3150"/>
            <w:tcMar>
              <w:top w:w="80" w:type="dxa"/>
              <w:start w:w="120" w:type="dxa"/>
              <w:bottom w:w="80" w:type="dxa"/>
              <w:end w:w="120" w:type="dxa"/>
            </w:tcMar>
            <w:vAlign w:val="center"/>
          </w:tcPr>
          <w:p>
            <w:pPr>
              <w:pStyle w:val="TableText"/>
              <w:jc w:val="left"/>
            </w:pPr>
            <w:r>
              <w:rPr>
                <w:rFonts w:ascii="Calibri" w:hAnsi="Calibri" w:eastAsia="Calibri"/>
                <w:color w:val="000000"/>
                <w:sz w:val="16"/>
              </w:rPr>
              <w:t>Match optimizer updates, effective rows, reuse, and curriculum exposure</w:t>
            </w:r>
          </w:p>
        </w:tc>
        <w:tc>
          <w:tcPr>
            <w:tcW w:type="dxa" w:w="3010"/>
            <w:tcMar>
              <w:top w:w="80" w:type="dxa"/>
              <w:start w:w="120" w:type="dxa"/>
              <w:bottom w:w="80" w:type="dxa"/>
              <w:end w:w="120" w:type="dxa"/>
            </w:tcMar>
            <w:vAlign w:val="center"/>
          </w:tcPr>
          <w:p>
            <w:pPr>
              <w:pStyle w:val="TableText"/>
              <w:jc w:val="left"/>
            </w:pPr>
            <w:r>
              <w:rPr>
                <w:rFonts w:ascii="Calibri" w:hAnsi="Calibri" w:eastAsia="Calibri"/>
                <w:color w:val="000000"/>
                <w:sz w:val="16"/>
              </w:rPr>
              <w:t>Distinguishes architectural ceiling from undertraining</w:t>
            </w:r>
          </w:p>
        </w:tc>
      </w:tr>
    </w:tbl>
    <w:p>
      <w:pPr>
        <w:pStyle w:val="Heading2"/>
      </w:pPr>
      <w:r>
        <w:t>Suggested primary metrics</w:t>
      </w:r>
    </w:p>
    <w:p>
      <w:pPr>
        <w:numPr>
          <w:ilvl w:val="0"/>
          <w:numId w:val="10"/>
        </w:numPr>
        <w:spacing w:after="160" w:line="280" w:lineRule="auto"/>
      </w:pPr>
      <w:r>
        <w:rPr>
          <w:rFonts w:ascii="Calibri" w:hAnsi="Calibri" w:eastAsia="Calibri"/>
          <w:color w:val="000000"/>
          <w:sz w:val="22"/>
        </w:rPr>
        <w:t>Direct paired win/loss score and paired confidence interval; do not promote pooled BT Elo until checkpoint aliases are merged.</w:t>
      </w:r>
    </w:p>
    <w:p>
      <w:pPr>
        <w:numPr>
          <w:ilvl w:val="0"/>
          <w:numId w:val="10"/>
        </w:numPr>
        <w:spacing w:after="160" w:line="280" w:lineRule="auto"/>
      </w:pPr>
      <w:r>
        <w:rPr>
          <w:rFonts w:ascii="Calibri" w:hAnsi="Calibri" w:eastAsia="Calibri"/>
          <w:color w:val="000000"/>
          <w:sz w:val="22"/>
        </w:rPr>
        <w:t>Forcing solver activation rate, first-move match rate, proof depth, and fraction of games materially changed by the solver toggle.</w:t>
      </w:r>
    </w:p>
    <w:p>
      <w:pPr>
        <w:numPr>
          <w:ilvl w:val="0"/>
          <w:numId w:val="10"/>
        </w:numPr>
        <w:spacing w:after="160" w:line="280" w:lineRule="auto"/>
      </w:pPr>
      <w:r>
        <w:rPr>
          <w:rFonts w:ascii="Calibri" w:hAnsi="Calibri" w:eastAsia="Calibri"/>
          <w:color w:val="000000"/>
          <w:sz w:val="22"/>
        </w:rPr>
        <w:t>Raw-policy top-1/top-k accuracy and regret on tactical, defensive, and quiet strategic position sets.</w:t>
      </w:r>
    </w:p>
    <w:p>
      <w:pPr>
        <w:numPr>
          <w:ilvl w:val="0"/>
          <w:numId w:val="10"/>
        </w:numPr>
        <w:spacing w:after="160" w:line="280" w:lineRule="auto"/>
      </w:pPr>
      <w:r>
        <w:rPr>
          <w:rFonts w:ascii="Calibri" w:hAnsi="Calibri" w:eastAsia="Calibri"/>
          <w:color w:val="000000"/>
          <w:sz w:val="22"/>
        </w:rPr>
        <w:t>Search quality at fixed simulations and at fixed wall-clock/node-expansion compute, since equal simulations do not imply equal cost.</w:t>
      </w:r>
    </w:p>
    <w:p>
      <w:pPr>
        <w:numPr>
          <w:ilvl w:val="0"/>
          <w:numId w:val="10"/>
        </w:numPr>
        <w:spacing w:after="160" w:line="280" w:lineRule="auto"/>
      </w:pPr>
      <w:r>
        <w:rPr>
          <w:rFonts w:ascii="Calibri" w:hAnsi="Calibri" w:eastAsia="Calibri"/>
          <w:color w:val="000000"/>
          <w:sz w:val="22"/>
        </w:rPr>
        <w:t>Per-group gradient norms, clipping fraction, nonfinite events, auxiliary gradient cosine similarity, and register activation scale by support size.</w:t>
      </w:r>
    </w:p>
    <w:p>
      <w:pPr>
        <w:numPr>
          <w:ilvl w:val="0"/>
          <w:numId w:val="10"/>
        </w:numPr>
        <w:spacing w:after="160" w:line="280" w:lineRule="auto"/>
      </w:pPr>
      <w:r>
        <w:rPr>
          <w:rFonts w:ascii="Calibri" w:hAnsi="Calibri" w:eastAsia="Calibri"/>
          <w:color w:val="000000"/>
          <w:sz w:val="22"/>
        </w:rPr>
        <w:t>Throughput, memory, free parameter count, and Elo per unit compute for quotient, JK, and message-operator ablations.</w:t>
      </w:r>
    </w:p>
    <w:p>
      <w:pPr>
        <w:pStyle w:val="Heading2"/>
      </w:pPr>
      <w:r>
        <w:t>Implementation notes</w:t>
      </w:r>
    </w:p>
    <w:p>
      <w:pPr>
        <w:numPr>
          <w:ilvl w:val="0"/>
          <w:numId w:val="16"/>
        </w:numPr>
        <w:spacing w:after="160" w:line="280" w:lineRule="auto"/>
      </w:pPr>
      <w:r>
        <w:rPr>
          <w:rFonts w:ascii="Calibri" w:hAnsi="Calibri" w:eastAsia="Calibri"/>
          <w:b/>
          <w:color w:val="172A3A"/>
          <w:sz w:val="22"/>
        </w:rPr>
        <w:t xml:space="preserve">Preserve exact equivariance. </w:t>
      </w:r>
      <w:r>
        <w:rPr>
          <w:rFonts w:ascii="Calibri" w:hAnsi="Calibri" w:eastAsia="Calibri"/>
          <w:color w:val="000000"/>
          <w:sz w:val="22"/>
        </w:rPr>
        <w:t>The recommendation is to change how representations are allocated, not to abandon D6 tying.</w:t>
      </w:r>
    </w:p>
    <w:p>
      <w:pPr>
        <w:numPr>
          <w:ilvl w:val="0"/>
          <w:numId w:val="16"/>
        </w:numPr>
        <w:spacing w:after="160" w:line="280" w:lineRule="auto"/>
      </w:pPr>
      <w:r>
        <w:rPr>
          <w:rFonts w:ascii="Calibri" w:hAnsi="Calibri" w:eastAsia="Calibri"/>
          <w:b/>
          <w:color w:val="172A3A"/>
          <w:sz w:val="22"/>
        </w:rPr>
        <w:t xml:space="preserve">Do not rely on a larger additive LUT alone. </w:t>
      </w:r>
      <w:r>
        <w:rPr>
          <w:rFonts w:ascii="Calibri" w:hAnsi="Calibri" w:eastAsia="Calibri"/>
          <w:color w:val="000000"/>
          <w:sz w:val="22"/>
        </w:rPr>
        <w:t>Main-3 remains separable across own reach and opponent reach and still shows optimization stress. A true edge-conditioned nonlinearity is the more direct Strix analogue.</w:t>
      </w:r>
    </w:p>
    <w:p>
      <w:pPr>
        <w:numPr>
          <w:ilvl w:val="0"/>
          <w:numId w:val="16"/>
        </w:numPr>
        <w:spacing w:after="160" w:line="280" w:lineRule="auto"/>
      </w:pPr>
      <w:r>
        <w:rPr>
          <w:rFonts w:ascii="Calibri" w:hAnsi="Calibri" w:eastAsia="Calibri"/>
          <w:b/>
          <w:color w:val="172A3A"/>
          <w:sz w:val="22"/>
        </w:rPr>
        <w:t xml:space="preserve">Retain tactical force-inclusion. </w:t>
      </w:r>
      <w:r>
        <w:rPr>
          <w:rFonts w:ascii="Calibri" w:hAnsi="Calibri" w:eastAsia="Calibri"/>
          <w:color w:val="000000"/>
          <w:sz w:val="22"/>
        </w:rPr>
        <w:t>Increasing action radius should complement, not remove, immediate-win and immediate-block candidate injection.</w:t>
      </w:r>
    </w:p>
    <w:p>
      <w:pPr>
        <w:numPr>
          <w:ilvl w:val="0"/>
          <w:numId w:val="16"/>
        </w:numPr>
        <w:spacing w:after="160" w:line="280" w:lineRule="auto"/>
      </w:pPr>
      <w:r>
        <w:rPr>
          <w:rFonts w:ascii="Calibri" w:hAnsi="Calibri" w:eastAsia="Calibri"/>
          <w:b/>
          <w:color w:val="172A3A"/>
          <w:sz w:val="22"/>
        </w:rPr>
        <w:t xml:space="preserve">Correct stale internal assumptions. </w:t>
      </w:r>
      <w:r>
        <w:rPr>
          <w:rFonts w:ascii="Calibri" w:hAnsi="Calibri" w:eastAsia="Calibri"/>
          <w:color w:val="000000"/>
          <w:sz w:val="22"/>
        </w:rPr>
        <w:t>The production Strix anchor is radius 6 and approximately 284k trainable parameters, not radius 8 and approximately 0.86M as stated in the current ray-convolution design note. [S25]</w:t>
      </w:r>
    </w:p>
    <w:p>
      <w:pPr>
        <w:pStyle w:val="Heading1"/>
      </w:pPr>
      <w:r>
        <w:t>9. Final assessment</w:t>
      </w:r>
    </w:p>
    <w:p>
      <w:r>
        <w:rPr>
          <w:rFonts w:ascii="Calibri" w:hAnsi="Calibri" w:eastAsia="Calibri"/>
          <w:color w:val="000000"/>
          <w:sz w:val="22"/>
        </w:rPr>
        <w:t>Strix's advantage is best understood as alignment and maturity. Its graph makes the exact line structure of the game cheap to access; its GINE operator preserves useful edge semantics until after a nonlinearity; JK-cat exposes every depth directly to the policy and value heads; and its search can override the network with a deeper forcing proof. The result is a small network that spends most of its capacity on tactically relevant relationships.</w:t>
      </w:r>
    </w:p>
    <w:p>
      <w:r>
        <w:rPr>
          <w:rFonts w:ascii="Calibri" w:hAnsi="Calibri" w:eastAsia="Calibri"/>
          <w:color w:val="000000"/>
          <w:sz w:val="22"/>
        </w:rPr>
        <w:t>Hexfield_EQ is broader and more ambitious. It is exactly symmetric, globally connected, richly featurized, and equipped with counting and auxiliary supervision. Its weaknesses arise from where that sophistication is spent: full regular representations everywhere, only 16 unique orbit channels, early ray compression, an R4 action set, a narrow final policy read, and a stressed multi-objective optimization regime.</w:t>
      </w:r>
    </w:p>
    <w:p>
      <w:pPr>
        <w:pStyle w:val="Callout"/>
        <w:spacing w:before="120" w:after="200" w:line="269" w:lineRule="auto"/>
        <w:ind w:left="230" w:right="115"/>
        <w:shd w:fill="E8F3EC" w:val="clear"/>
        <w:pBdr>
          <w:left w:val="single" w:sz="22" w:space="8" w:color="2F6B44"/>
        </w:pBdr>
      </w:pPr>
      <w:r>
        <w:rPr>
          <w:rFonts w:ascii="Calibri" w:hAnsi="Calibri" w:eastAsia="Calibri"/>
          <w:b/>
          <w:color w:val="2F6B44"/>
          <w:sz w:val="21"/>
        </w:rPr>
        <w:t xml:space="preserve">CONCLUSION  </w:t>
      </w:r>
      <w:r>
        <w:rPr>
          <w:rFonts w:ascii="Calibri" w:hAnsi="Calibri" w:eastAsia="Calibri"/>
          <w:color w:val="172A3A"/>
          <w:sz w:val="21"/>
        </w:rPr>
        <w:t>The current evidence supports 'Strix is a much stronger complete bot.' It does not yet support 'Strix's neural architecture is approximately 206 Elo stronger.' The next decisive step is a pinned forcing-off Strix comparison, followed by radius-6 and JK/message-operator Hexfield ablations.</w:t>
      </w:r>
    </w:p>
    <w:p>
      <w:pPr>
        <w:pStyle w:val="Heading2"/>
      </w:pPr>
      <w:r>
        <w:t>Confidence boundaries</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1600"/>
        <w:gridCol w:w="7760"/>
      </w:tblGrid>
      <w:tr>
        <w:trPr>
          <w:cantSplit/>
          <w:tblHeader w:val="true"/>
          <w:cantSplit/>
          <w:tblHeader w:val="true"/>
        </w:trPr>
        <w:tc>
          <w:tcPr>
            <w:tcW w:type="dxa" w:w="160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8"/>
              </w:rPr>
              <w:t>Status</w:t>
            </w:r>
          </w:p>
        </w:tc>
        <w:tc>
          <w:tcPr>
            <w:tcW w:type="dxa" w:w="776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8"/>
              </w:rPr>
              <w:t>Claims</w:t>
            </w:r>
          </w:p>
        </w:tc>
      </w:tr>
      <w:tr>
        <w:trPr>
          <w:cantSplit/>
        </w:trPr>
        <w:tc>
          <w:tcPr>
            <w:tcW w:type="dxa" w:w="1600"/>
            <w:tcMar>
              <w:top w:w="80" w:type="dxa"/>
              <w:start w:w="120" w:type="dxa"/>
              <w:bottom w:w="80" w:type="dxa"/>
              <w:end w:w="120" w:type="dxa"/>
            </w:tcMar>
            <w:vAlign w:val="center"/>
          </w:tcPr>
          <w:p>
            <w:pPr>
              <w:pStyle w:val="TableText"/>
              <w:jc w:val="left"/>
            </w:pPr>
            <w:r>
              <w:rPr>
                <w:rFonts w:ascii="Calibri" w:hAnsi="Calibri" w:eastAsia="Calibri"/>
                <w:color w:val="000000"/>
                <w:sz w:val="18"/>
              </w:rPr>
              <w:t>Verified</w:t>
            </w:r>
          </w:p>
        </w:tc>
        <w:tc>
          <w:tcPr>
            <w:tcW w:type="dxa" w:w="7760"/>
            <w:tcMar>
              <w:top w:w="80" w:type="dxa"/>
              <w:start w:w="120" w:type="dxa"/>
              <w:bottom w:w="80" w:type="dxa"/>
              <w:end w:w="120" w:type="dxa"/>
            </w:tcMar>
            <w:vAlign w:val="center"/>
          </w:tcPr>
          <w:p>
            <w:pPr>
              <w:pStyle w:val="TableText"/>
              <w:jc w:val="left"/>
            </w:pPr>
            <w:r>
              <w:rPr>
                <w:rFonts w:ascii="Calibri" w:hAnsi="Calibri" w:eastAsia="Calibri"/>
                <w:color w:val="000000"/>
                <w:sz w:val="18"/>
              </w:rPr>
              <w:t>Latest direct score; matched nominal visits; paired seats/openings; parameter counts; R4/R6 support; forcing code in artifact lineage; CPU replay behavior; pool alias defect; clipping telemetry</w:t>
            </w:r>
          </w:p>
        </w:tc>
      </w:tr>
      <w:tr>
        <w:trPr>
          <w:cantSplit/>
        </w:trPr>
        <w:tc>
          <w:tcPr>
            <w:tcW w:type="dxa" w:w="16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Strong inference</w:t>
            </w:r>
          </w:p>
        </w:tc>
        <w:tc>
          <w:tcPr>
            <w:tcW w:type="dxa" w:w="776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8"/>
              </w:rPr>
              <w:t>Forcing solver is a major but unquantified Elo contributor; GINE pre-sum nonlinearity and JK-cat are better tactical/optimization biases; full regular representation is compute-inefficient</w:t>
            </w:r>
          </w:p>
        </w:tc>
      </w:tr>
      <w:tr>
        <w:trPr>
          <w:cantSplit/>
        </w:trPr>
        <w:tc>
          <w:tcPr>
            <w:tcW w:type="dxa" w:w="1600"/>
            <w:tcMar>
              <w:top w:w="80" w:type="dxa"/>
              <w:start w:w="120" w:type="dxa"/>
              <w:bottom w:w="80" w:type="dxa"/>
              <w:end w:w="120" w:type="dxa"/>
            </w:tcMar>
            <w:vAlign w:val="center"/>
          </w:tcPr>
          <w:p>
            <w:pPr>
              <w:pStyle w:val="TableText"/>
              <w:jc w:val="left"/>
            </w:pPr>
            <w:r>
              <w:rPr>
                <w:rFonts w:ascii="Calibri" w:hAnsi="Calibri" w:eastAsia="Calibri"/>
                <w:color w:val="000000"/>
                <w:sz w:val="18"/>
              </w:rPr>
              <w:t>Unresolved</w:t>
            </w:r>
          </w:p>
        </w:tc>
        <w:tc>
          <w:tcPr>
            <w:tcW w:type="dxa" w:w="7760"/>
            <w:tcMar>
              <w:top w:w="80" w:type="dxa"/>
              <w:start w:w="120" w:type="dxa"/>
              <w:bottom w:w="80" w:type="dxa"/>
              <w:end w:w="120" w:type="dxa"/>
            </w:tcMar>
            <w:vAlign w:val="center"/>
          </w:tcPr>
          <w:p>
            <w:pPr>
              <w:pStyle w:val="TableText"/>
              <w:jc w:val="left"/>
            </w:pPr>
            <w:r>
              <w:rPr>
                <w:rFonts w:ascii="Calibri" w:hAnsi="Calibri" w:eastAsia="Calibri"/>
                <w:color w:val="000000"/>
                <w:sz w:val="18"/>
              </w:rPr>
              <w:t>Exact network-only Elo gap; exact solver Elo contribution; whether R6, JK, quotient types, or objective changes dominate; main-3 playing strength</w:t>
            </w:r>
          </w:p>
        </w:tc>
      </w:tr>
    </w:tbl>
    <w:p>
      <w:pPr>
        <w:pStyle w:val="Heading2"/>
      </w:pPr>
      <w:r>
        <w:t>Methodology</w:t>
      </w:r>
    </w:p>
    <w:p>
      <w:r>
        <w:rPr>
          <w:rFonts w:ascii="Calibri" w:hAnsi="Calibri" w:eastAsia="Calibri"/>
          <w:color w:val="000000"/>
          <w:sz w:val="22"/>
        </w:rPr>
        <w:t>Three parallel review tracks examined Hexfield_EQ architecture/training, Strix architecture/search, and persisted evaluation evidence. The investigation used source inspection, CPU-only checkpoint metadata loading, static wheel inspection, result parsing, and CPU replay of stored HXR states through the exposed forcing solver. It did not start, stop, or interfere with the active GPU workload; it did not run neural inference or training; and it did not modify the compared implementation or run artifacts.</w:t>
      </w:r>
    </w:p>
    <w:p>
      <w:pPr>
        <w:pStyle w:val="Heading1"/>
      </w:pPr>
      <w:r>
        <w:t>Appendix A. Evidence and source map</w:t>
      </w:r>
    </w:p>
    <w:p>
      <w:r>
        <w:rPr>
          <w:rFonts w:ascii="Calibri" w:hAnsi="Calibri" w:eastAsia="Calibri"/>
          <w:color w:val="000000"/>
          <w:sz w:val="22"/>
        </w:rPr>
        <w:t>Bracketed source IDs in the report refer to the following repository files, run artifacts, and official upstream source.</w:t>
      </w:r>
    </w:p>
    <w:p>
      <w:pPr>
        <w:pStyle w:val="SourceText"/>
        <w:ind w:left="360" w:hanging="360"/>
      </w:pPr>
      <w:r>
        <w:rPr>
          <w:rFonts w:ascii="Calibri" w:hAnsi="Calibri" w:eastAsia="Calibri"/>
          <w:b/>
          <w:color w:val="1F4D78"/>
          <w:sz w:val="17"/>
        </w:rPr>
        <w:t xml:space="preserve">[S1] Epoch-70 direct evaluation artifact: </w:t>
      </w:r>
      <w:r>
        <w:rPr>
          <w:rFonts w:ascii="Consolas" w:hAnsi="Consolas" w:eastAsia="Consolas"/>
          <w:color w:val="5C6670"/>
          <w:sz w:val="16"/>
        </w:rPr>
        <w:t>E:\Hexo-BotTrainer\runs\hexfield_eq_main_2\diagnostics\hexfield.multistage_eval.epoch_000070.json</w:t>
      </w:r>
      <w:r>
        <w:rPr>
          <w:rFonts w:ascii="Calibri" w:hAnsi="Calibri" w:eastAsia="Calibri"/>
          <w:color w:val="5C6670"/>
          <w:sz w:val="17"/>
        </w:rPr>
        <w:t xml:space="preserve"> - 15-49 result, confidence interval, stage metadata</w:t>
      </w:r>
    </w:p>
    <w:p>
      <w:pPr>
        <w:pStyle w:val="SourceText"/>
        <w:ind w:left="360" w:hanging="360"/>
      </w:pPr>
      <w:r>
        <w:rPr>
          <w:rFonts w:ascii="Calibri" w:hAnsi="Calibri" w:eastAsia="Calibri"/>
          <w:b/>
          <w:color w:val="1F4D78"/>
          <w:sz w:val="17"/>
        </w:rPr>
        <w:t xml:space="preserve">[S2] Paired arena implementation: </w:t>
      </w:r>
      <w:r>
        <w:rPr>
          <w:rFonts w:ascii="Consolas" w:hAnsi="Consolas" w:eastAsia="Consolas"/>
          <w:color w:val="5C6670"/>
          <w:sz w:val="16"/>
        </w:rPr>
        <w:t>E:\Hexo-BotTrainer-hexgt\packages\hexfield_eq\python\hexfield_eq\eval_driver.py</w:t>
      </w:r>
      <w:r>
        <w:rPr>
          <w:rFonts w:ascii="Calibri" w:hAnsi="Calibri" w:eastAsia="Calibri"/>
          <w:color w:val="5C6670"/>
          <w:sz w:val="17"/>
        </w:rPr>
        <w:t xml:space="preserve"> - opening replay, seat swap, pair accounting</w:t>
      </w:r>
    </w:p>
    <w:p>
      <w:pPr>
        <w:pStyle w:val="SourceText"/>
        <w:ind w:left="360" w:hanging="360"/>
      </w:pPr>
      <w:r>
        <w:rPr>
          <w:rFonts w:ascii="Calibri" w:hAnsi="Calibri" w:eastAsia="Calibri"/>
          <w:b/>
          <w:color w:val="1F4D78"/>
          <w:sz w:val="17"/>
        </w:rPr>
        <w:t xml:space="preserve">[S3] Main-2 configuration: </w:t>
      </w:r>
      <w:r>
        <w:rPr>
          <w:rFonts w:ascii="Consolas" w:hAnsi="Consolas" w:eastAsia="Consolas"/>
          <w:color w:val="5C6670"/>
          <w:sz w:val="16"/>
        </w:rPr>
        <w:t>E:\Hexo-BotTrainer-hexgt\configs\hexfield_eq_main_2.toml</w:t>
      </w:r>
      <w:r>
        <w:rPr>
          <w:rFonts w:ascii="Calibri" w:hAnsi="Calibri" w:eastAsia="Calibri"/>
          <w:color w:val="5C6670"/>
          <w:sz w:val="17"/>
        </w:rPr>
        <w:t xml:space="preserve"> - training, candidate search, Strix 512/16 settings</w:t>
      </w:r>
    </w:p>
    <w:p>
      <w:pPr>
        <w:pStyle w:val="SourceText"/>
        <w:ind w:left="360" w:hanging="360"/>
      </w:pPr>
      <w:r>
        <w:rPr>
          <w:rFonts w:ascii="Calibri" w:hAnsi="Calibri" w:eastAsia="Calibri"/>
          <w:b/>
          <w:color w:val="1F4D78"/>
          <w:sz w:val="17"/>
        </w:rPr>
        <w:t xml:space="preserve">[S4] Strix Python MCTS adapter: </w:t>
      </w:r>
      <w:r>
        <w:rPr>
          <w:rFonts w:ascii="Consolas" w:hAnsi="Consolas" w:eastAsia="Consolas"/>
          <w:color w:val="5C6670"/>
          <w:sz w:val="16"/>
        </w:rPr>
        <w:t>E:\Hexo-BotTrainer-hexgt\packages\hexo_strix\python\hexo_strix\mcts_player.py</w:t>
      </w:r>
      <w:r>
        <w:rPr>
          <w:rFonts w:ascii="Calibri" w:hAnsi="Calibri" w:eastAsia="Calibri"/>
          <w:color w:val="5C6670"/>
          <w:sz w:val="17"/>
        </w:rPr>
        <w:t xml:space="preserve"> - calls compiled gumbel_mcts_with_diagnostics</w:t>
      </w:r>
    </w:p>
    <w:p>
      <w:pPr>
        <w:pStyle w:val="SourceText"/>
        <w:ind w:left="360" w:hanging="360"/>
      </w:pPr>
      <w:r>
        <w:rPr>
          <w:rFonts w:ascii="Calibri" w:hAnsi="Calibri" w:eastAsia="Calibri"/>
          <w:b/>
          <w:color w:val="1F4D78"/>
          <w:sz w:val="17"/>
        </w:rPr>
        <w:t xml:space="preserve">[S5] Official forcing-search implementation: </w:t>
      </w:r>
      <w:hyperlink r:id="rId11">
        <w:r>
          <w:rPr>
            <w:color w:val="2E74B5"/>
            <w:u w:val="single"/>
            <w:rFonts w:ascii="Calibri" w:hAnsi="Calibri"/>
            <w:sz w:val="20"/>
          </w:rPr>
          <w:t>Open official source</w:t>
        </w:r>
      </w:hyperlink>
      <w:r>
        <w:rPr>
          <w:rFonts w:ascii="Calibri" w:hAnsi="Calibri" w:eastAsia="Calibri"/>
          <w:color w:val="5C6670"/>
          <w:sz w:val="17"/>
        </w:rPr>
        <w:t xml:space="preserve"> - immediate-win and bounded forcing bypass</w:t>
      </w:r>
    </w:p>
    <w:p>
      <w:pPr>
        <w:pStyle w:val="SourceText"/>
        <w:ind w:left="360" w:hanging="360"/>
      </w:pPr>
      <w:r>
        <w:rPr>
          <w:rFonts w:ascii="Calibri" w:hAnsi="Calibri" w:eastAsia="Calibri"/>
          <w:b/>
          <w:color w:val="1F4D78"/>
          <w:sz w:val="17"/>
        </w:rPr>
        <w:t xml:space="preserve">[S6] Vendored Rust build instructions: </w:t>
      </w:r>
      <w:r>
        <w:rPr>
          <w:rFonts w:ascii="Consolas" w:hAnsi="Consolas" w:eastAsia="Consolas"/>
          <w:color w:val="5C6670"/>
          <w:sz w:val="16"/>
        </w:rPr>
        <w:t>E:\Hexo-BotTrainer-hexgt\packages\hexo_strix\vendor\BUILD_hexo_rs.md</w:t>
      </w:r>
      <w:r>
        <w:rPr>
          <w:rFonts w:ascii="Calibri" w:hAnsi="Calibri" w:eastAsia="Calibri"/>
          <w:color w:val="5C6670"/>
          <w:sz w:val="17"/>
        </w:rPr>
        <w:t xml:space="preserve"> - unpinned moving-main rebuild procedure</w:t>
      </w:r>
    </w:p>
    <w:p>
      <w:pPr>
        <w:pStyle w:val="SourceText"/>
        <w:ind w:left="360" w:hanging="360"/>
      </w:pPr>
      <w:r>
        <w:rPr>
          <w:rFonts w:ascii="Calibri" w:hAnsi="Calibri" w:eastAsia="Calibri"/>
          <w:b/>
          <w:color w:val="1F4D78"/>
          <w:sz w:val="17"/>
        </w:rPr>
        <w:t xml:space="preserve">[S7] Strix graph builder: </w:t>
      </w:r>
      <w:r>
        <w:rPr>
          <w:rFonts w:ascii="Consolas" w:hAnsi="Consolas" w:eastAsia="Consolas"/>
          <w:color w:val="5C6670"/>
          <w:sz w:val="16"/>
        </w:rPr>
        <w:t>E:\Hexo-BotTrainer-hexgt\packages\hexo_strix\python\hexo_strix\graph.py</w:t>
      </w:r>
      <w:r>
        <w:rPr>
          <w:rFonts w:ascii="Calibri" w:hAnsi="Calibri" w:eastAsia="Calibri"/>
          <w:color w:val="5C6670"/>
          <w:sz w:val="17"/>
        </w:rPr>
        <w:t xml:space="preserve"> - node features, signed axis graph, blocking, dummy node</w:t>
      </w:r>
    </w:p>
    <w:p>
      <w:pPr>
        <w:pStyle w:val="SourceText"/>
        <w:ind w:left="360" w:hanging="360"/>
      </w:pPr>
      <w:r>
        <w:rPr>
          <w:rFonts w:ascii="Calibri" w:hAnsi="Calibri" w:eastAsia="Calibri"/>
          <w:b/>
          <w:color w:val="1F4D78"/>
          <w:sz w:val="17"/>
        </w:rPr>
        <w:t xml:space="preserve">[S8] Strix model: </w:t>
      </w:r>
      <w:r>
        <w:rPr>
          <w:rFonts w:ascii="Consolas" w:hAnsi="Consolas" w:eastAsia="Consolas"/>
          <w:color w:val="5C6670"/>
          <w:sz w:val="16"/>
        </w:rPr>
        <w:t>E:\Hexo-BotTrainer-hexgt\packages\hexo_strix\python\hexo_strix\model.py</w:t>
      </w:r>
      <w:r>
        <w:rPr>
          <w:rFonts w:ascii="Calibri" w:hAnsi="Calibri" w:eastAsia="Calibri"/>
          <w:color w:val="5C6670"/>
          <w:sz w:val="17"/>
        </w:rPr>
        <w:t xml:space="preserve"> - GINE, pre-norm residuals, JK-cat, policy/value heads</w:t>
      </w:r>
    </w:p>
    <w:p>
      <w:pPr>
        <w:pStyle w:val="SourceText"/>
        <w:ind w:left="360" w:hanging="360"/>
      </w:pPr>
      <w:r>
        <w:rPr>
          <w:rFonts w:ascii="Calibri" w:hAnsi="Calibri" w:eastAsia="Calibri"/>
          <w:b/>
          <w:color w:val="1F4D78"/>
          <w:sz w:val="17"/>
        </w:rPr>
        <w:t xml:space="preserve">[S9] Strix production checkpoint: </w:t>
      </w:r>
      <w:r>
        <w:rPr>
          <w:rFonts w:ascii="Consolas" w:hAnsi="Consolas" w:eastAsia="Consolas"/>
          <w:color w:val="5C6670"/>
          <w:sz w:val="16"/>
        </w:rPr>
        <w:t>E:\Hexo-BotTrainer\anchors\strix\checkpoint_00237000.pt</w:t>
      </w:r>
      <w:r>
        <w:rPr>
          <w:rFonts w:ascii="Calibri" w:hAnsi="Calibri" w:eastAsia="Calibri"/>
          <w:color w:val="5C6670"/>
          <w:sz w:val="17"/>
        </w:rPr>
        <w:t xml:space="preserve"> - CPU metadata and 283,970 trainable parameter census</w:t>
      </w:r>
    </w:p>
    <w:p>
      <w:pPr>
        <w:pStyle w:val="SourceText"/>
        <w:ind w:left="360" w:hanging="360"/>
      </w:pPr>
      <w:r>
        <w:rPr>
          <w:rFonts w:ascii="Calibri" w:hAnsi="Calibri" w:eastAsia="Calibri"/>
          <w:b/>
          <w:color w:val="1F4D78"/>
          <w:sz w:val="17"/>
        </w:rPr>
        <w:t xml:space="preserve">[S10] Hexfield equivariant operators: </w:t>
      </w:r>
      <w:r>
        <w:rPr>
          <w:rFonts w:ascii="Consolas" w:hAnsi="Consolas" w:eastAsia="Consolas"/>
          <w:color w:val="5C6670"/>
          <w:sz w:val="16"/>
        </w:rPr>
        <w:t>E:\Hexo-BotTrainer-hexgt\packages\hexfield_eq\python\hexfield_eq\equivariant.py</w:t>
      </w:r>
      <w:r>
        <w:rPr>
          <w:rFonts w:ascii="Calibri" w:hAnsi="Calibri" w:eastAsia="Calibri"/>
          <w:color w:val="5C6670"/>
          <w:sz w:val="17"/>
        </w:rPr>
        <w:t xml:space="preserve"> - D6 regular representation and tied channel mixing</w:t>
      </w:r>
    </w:p>
    <w:p>
      <w:pPr>
        <w:pStyle w:val="SourceText"/>
        <w:ind w:left="360" w:hanging="360"/>
      </w:pPr>
      <w:r>
        <w:rPr>
          <w:rFonts w:ascii="Calibri" w:hAnsi="Calibri" w:eastAsia="Calibri"/>
          <w:b/>
          <w:color w:val="1F4D78"/>
          <w:sz w:val="17"/>
        </w:rPr>
        <w:t xml:space="preserve">[S11] Quotient-representation context: </w:t>
      </w:r>
      <w:r>
        <w:rPr>
          <w:rFonts w:ascii="Consolas" w:hAnsi="Consolas" w:eastAsia="Consolas"/>
          <w:color w:val="5C6670"/>
          <w:sz w:val="16"/>
        </w:rPr>
        <w:t>E:\Hexo-BotTrainer-hexgt\docs\quotient_reps\CONTEXT.md</w:t>
      </w:r>
      <w:r>
        <w:rPr>
          <w:rFonts w:ascii="Calibri" w:hAnsi="Calibri" w:eastAsia="Calibri"/>
          <w:color w:val="5C6670"/>
          <w:sz w:val="17"/>
        </w:rPr>
        <w:t xml:space="preserve"> - capacity-per-FLOP motivation</w:t>
      </w:r>
    </w:p>
    <w:p>
      <w:pPr>
        <w:pStyle w:val="SourceText"/>
        <w:ind w:left="360" w:hanging="360"/>
      </w:pPr>
      <w:r>
        <w:rPr>
          <w:rFonts w:ascii="Calibri" w:hAnsi="Calibri" w:eastAsia="Calibri"/>
          <w:b/>
          <w:color w:val="1F4D78"/>
          <w:sz w:val="17"/>
        </w:rPr>
        <w:t xml:space="preserve">[S12] Hexfield features: </w:t>
      </w:r>
      <w:r>
        <w:rPr>
          <w:rFonts w:ascii="Consolas" w:hAnsi="Consolas" w:eastAsia="Consolas"/>
          <w:color w:val="5C6670"/>
          <w:sz w:val="16"/>
        </w:rPr>
        <w:t>E:\Hexo-BotTrainer-hexgt\packages\hexfield_eq\python\hexfield_eq\features.py</w:t>
      </w:r>
      <w:r>
        <w:rPr>
          <w:rFonts w:ascii="Calibri" w:hAnsi="Calibri" w:eastAsia="Calibri"/>
          <w:color w:val="5C6670"/>
          <w:sz w:val="17"/>
        </w:rPr>
        <w:t xml:space="preserve"> - 46-plane feature semantics and boundary behavior</w:t>
      </w:r>
    </w:p>
    <w:p>
      <w:pPr>
        <w:pStyle w:val="SourceText"/>
        <w:ind w:left="360" w:hanging="360"/>
      </w:pPr>
      <w:r>
        <w:rPr>
          <w:rFonts w:ascii="Calibri" w:hAnsi="Calibri" w:eastAsia="Calibri"/>
          <w:b/>
          <w:color w:val="1F4D78"/>
          <w:sz w:val="17"/>
        </w:rPr>
        <w:t xml:space="preserve">[S13] Hexfield model: </w:t>
      </w:r>
      <w:r>
        <w:rPr>
          <w:rFonts w:ascii="Consolas" w:hAnsi="Consolas" w:eastAsia="Consolas"/>
          <w:color w:val="5C6670"/>
          <w:sz w:val="16"/>
        </w:rPr>
        <w:t>E:\Hexo-BotTrainer-hexgt\packages\hexfield_eq\python\hexfield_eq\model.py</w:t>
      </w:r>
      <w:r>
        <w:rPr>
          <w:rFonts w:ascii="Calibri" w:hAnsi="Calibri" w:eastAsia="Calibri"/>
          <w:color w:val="5C6670"/>
          <w:sz w:val="17"/>
        </w:rPr>
        <w:t xml:space="preserve"> - C/A layout, raytap, LayerScale, heads, pooling</w:t>
      </w:r>
    </w:p>
    <w:p>
      <w:pPr>
        <w:pStyle w:val="SourceText"/>
        <w:ind w:left="360" w:hanging="360"/>
      </w:pPr>
      <w:r>
        <w:rPr>
          <w:rFonts w:ascii="Calibri" w:hAnsi="Calibri" w:eastAsia="Calibri"/>
          <w:b/>
          <w:color w:val="1F4D78"/>
          <w:sz w:val="17"/>
        </w:rPr>
        <w:t xml:space="preserve">[S14] Hexfield register lane: </w:t>
      </w:r>
      <w:r>
        <w:rPr>
          <w:rFonts w:ascii="Consolas" w:hAnsi="Consolas" w:eastAsia="Consolas"/>
          <w:color w:val="5C6670"/>
          <w:sz w:val="16"/>
        </w:rPr>
        <w:t>E:\Hexo-BotTrainer-hexgt\packages\hexfield_eq\python\hexfield_eq\register.py</w:t>
      </w:r>
      <w:r>
        <w:rPr>
          <w:rFonts w:ascii="Calibri" w:hAnsi="Calibri" w:eastAsia="Calibri"/>
          <w:color w:val="5C6670"/>
          <w:sz w:val="17"/>
        </w:rPr>
        <w:t xml:space="preserve"> - sigmoid-gated unnormalized counting sum</w:t>
      </w:r>
    </w:p>
    <w:p>
      <w:pPr>
        <w:pStyle w:val="SourceText"/>
        <w:ind w:left="360" w:hanging="360"/>
      </w:pPr>
      <w:r>
        <w:rPr>
          <w:rFonts w:ascii="Calibri" w:hAnsi="Calibri" w:eastAsia="Calibri"/>
          <w:b/>
          <w:color w:val="1F4D78"/>
          <w:sz w:val="17"/>
        </w:rPr>
        <w:t xml:space="preserve">[S15] Main-2 training diagnostics: </w:t>
      </w:r>
      <w:r>
        <w:rPr>
          <w:rFonts w:ascii="Consolas" w:hAnsi="Consolas" w:eastAsia="Consolas"/>
          <w:color w:val="5C6670"/>
          <w:sz w:val="16"/>
        </w:rPr>
        <w:t>E:\Hexo-BotTrainer\runs\hexfield_eq_main_2\diagnostics</w:t>
      </w:r>
      <w:r>
        <w:rPr>
          <w:rFonts w:ascii="Calibri" w:hAnsi="Calibri" w:eastAsia="Calibri"/>
          <w:color w:val="5C6670"/>
          <w:sz w:val="17"/>
        </w:rPr>
        <w:t xml:space="preserve"> - optimizer progress, loss groups, gradients</w:t>
      </w:r>
    </w:p>
    <w:p>
      <w:pPr>
        <w:pStyle w:val="SourceText"/>
        <w:ind w:left="360" w:hanging="360"/>
      </w:pPr>
      <w:r>
        <w:rPr>
          <w:rFonts w:ascii="Calibri" w:hAnsi="Calibri" w:eastAsia="Calibri"/>
          <w:b/>
          <w:color w:val="1F4D78"/>
          <w:sz w:val="17"/>
        </w:rPr>
        <w:t xml:space="preserve">[S16] Main-2 prefit diagnostics: </w:t>
      </w:r>
      <w:r>
        <w:rPr>
          <w:rFonts w:ascii="Consolas" w:hAnsi="Consolas" w:eastAsia="Consolas"/>
          <w:color w:val="5C6670"/>
          <w:sz w:val="16"/>
        </w:rPr>
        <w:t>E:\Hexo-BotTrainer\runs\hexfield_eq_main2_prefit\a5\diagnostics.jsonl</w:t>
      </w:r>
      <w:r>
        <w:rPr>
          <w:rFonts w:ascii="Calibri" w:hAnsi="Calibri" w:eastAsia="Calibri"/>
          <w:color w:val="5C6670"/>
          <w:sz w:val="17"/>
        </w:rPr>
        <w:t xml:space="preserve"> - 0.99625 clipping and nonfinite grad telemetry</w:t>
      </w:r>
    </w:p>
    <w:p>
      <w:pPr>
        <w:pStyle w:val="SourceText"/>
        <w:ind w:left="360" w:hanging="360"/>
      </w:pPr>
      <w:r>
        <w:rPr>
          <w:rFonts w:ascii="Calibri" w:hAnsi="Calibri" w:eastAsia="Calibri"/>
          <w:b/>
          <w:color w:val="1F4D78"/>
          <w:sz w:val="17"/>
        </w:rPr>
        <w:t xml:space="preserve">[S17] Hexfield epoch-70 checkpoint: </w:t>
      </w:r>
      <w:r>
        <w:rPr>
          <w:rFonts w:ascii="Consolas" w:hAnsi="Consolas" w:eastAsia="Consolas"/>
          <w:color w:val="5C6670"/>
          <w:sz w:val="16"/>
        </w:rPr>
        <w:t>E:\Hexo-BotTrainer\runs\hexfield_eq_main_2\checkpoints\epoch_000070.pt</w:t>
      </w:r>
      <w:r>
        <w:rPr>
          <w:rFonts w:ascii="Calibri" w:hAnsi="Calibri" w:eastAsia="Calibri"/>
          <w:color w:val="5C6670"/>
          <w:sz w:val="17"/>
        </w:rPr>
        <w:t xml:space="preserve"> - CPU metadata and 627,343 trainable parameter census</w:t>
      </w:r>
    </w:p>
    <w:p>
      <w:pPr>
        <w:pStyle w:val="SourceText"/>
        <w:ind w:left="360" w:hanging="360"/>
      </w:pPr>
      <w:r>
        <w:rPr>
          <w:rFonts w:ascii="Calibri" w:hAnsi="Calibri" w:eastAsia="Calibri"/>
          <w:b/>
          <w:color w:val="1F4D78"/>
          <w:sz w:val="17"/>
        </w:rPr>
        <w:t xml:space="preserve">[S18] Multistage aggregation: </w:t>
      </w:r>
      <w:r>
        <w:rPr>
          <w:rFonts w:ascii="Consolas" w:hAnsi="Consolas" w:eastAsia="Consolas"/>
          <w:color w:val="5C6670"/>
          <w:sz w:val="16"/>
        </w:rPr>
        <w:t>E:\Hexo-BotTrainer-hexgt\packages\hexfield_eq\python\hexfield_eq\multistage_eval.py</w:t>
      </w:r>
      <w:r>
        <w:rPr>
          <w:rFonts w:ascii="Calibri" w:hAnsi="Calibri" w:eastAsia="Calibri"/>
          <w:color w:val="5C6670"/>
          <w:sz w:val="17"/>
        </w:rPr>
        <w:t xml:space="preserve"> - candidate labels, BT identities, partial pair conversion</w:t>
      </w:r>
    </w:p>
    <w:p>
      <w:pPr>
        <w:pStyle w:val="SourceText"/>
        <w:ind w:left="360" w:hanging="360"/>
      </w:pPr>
      <w:r>
        <w:rPr>
          <w:rFonts w:ascii="Calibri" w:hAnsi="Calibri" w:eastAsia="Calibri"/>
          <w:b/>
          <w:color w:val="1F4D78"/>
          <w:sz w:val="17"/>
        </w:rPr>
        <w:t xml:space="preserve">[S19] Epoch-70 HXR record: </w:t>
      </w:r>
      <w:r>
        <w:rPr>
          <w:rFonts w:ascii="Consolas" w:hAnsi="Consolas" w:eastAsia="Consolas"/>
          <w:color w:val="5C6670"/>
          <w:sz w:val="16"/>
        </w:rPr>
        <w:t>E:\Hexo-BotTrainer\runs\hexfield_eq_main_2\evaluation\epoch_000070\cand_ep70_vs_strix.hxr</w:t>
      </w:r>
      <w:r>
        <w:rPr>
          <w:rFonts w:ascii="Calibri" w:hAnsi="Calibri" w:eastAsia="Calibri"/>
          <w:color w:val="5C6670"/>
          <w:sz w:val="17"/>
        </w:rPr>
        <w:t xml:space="preserve"> - CPU forcing-solver replay source</w:t>
      </w:r>
    </w:p>
    <w:p>
      <w:pPr>
        <w:pStyle w:val="SourceText"/>
        <w:ind w:left="360" w:hanging="360"/>
      </w:pPr>
      <w:r>
        <w:rPr>
          <w:rFonts w:ascii="Calibri" w:hAnsi="Calibri" w:eastAsia="Calibri"/>
          <w:b/>
          <w:color w:val="1F4D78"/>
          <w:sz w:val="17"/>
        </w:rPr>
        <w:t xml:space="preserve">[S20] Shared tactical threats: </w:t>
      </w:r>
      <w:r>
        <w:rPr>
          <w:rFonts w:ascii="Consolas" w:hAnsi="Consolas" w:eastAsia="Consolas"/>
          <w:color w:val="5C6670"/>
          <w:sz w:val="16"/>
        </w:rPr>
        <w:t>E:\Hexo-BotTrainer-hexgt\packages\hexo_models\rust\src\threats_shared.rs</w:t>
      </w:r>
      <w:r>
        <w:rPr>
          <w:rFonts w:ascii="Calibri" w:hAnsi="Calibri" w:eastAsia="Calibri"/>
          <w:color w:val="5C6670"/>
          <w:sz w:val="17"/>
        </w:rPr>
        <w:t xml:space="preserve"> - immediate and one-turn tactical logic</w:t>
      </w:r>
    </w:p>
    <w:p>
      <w:pPr>
        <w:pStyle w:val="SourceText"/>
        <w:ind w:left="360" w:hanging="360"/>
      </w:pPr>
      <w:r>
        <w:rPr>
          <w:rFonts w:ascii="Calibri" w:hAnsi="Calibri" w:eastAsia="Calibri"/>
          <w:b/>
          <w:color w:val="1F4D78"/>
          <w:sz w:val="17"/>
        </w:rPr>
        <w:t xml:space="preserve">[S21] Hexfield search tree: </w:t>
      </w:r>
      <w:r>
        <w:rPr>
          <w:rFonts w:ascii="Consolas" w:hAnsi="Consolas" w:eastAsia="Consolas"/>
          <w:color w:val="5C6670"/>
          <w:sz w:val="16"/>
        </w:rPr>
        <w:t>E:\Hexo-BotTrainer-hexgt\packages\hexfield_eq\rust\src\tree.rs</w:t>
      </w:r>
      <w:r>
        <w:rPr>
          <w:rFonts w:ascii="Calibri" w:hAnsi="Calibri" w:eastAsia="Calibri"/>
          <w:color w:val="5C6670"/>
          <w:sz w:val="17"/>
        </w:rPr>
        <w:t xml:space="preserve"> - forced tactical candidate injection</w:t>
      </w:r>
    </w:p>
    <w:p>
      <w:pPr>
        <w:pStyle w:val="SourceText"/>
        <w:ind w:left="360" w:hanging="360"/>
      </w:pPr>
      <w:r>
        <w:rPr>
          <w:rFonts w:ascii="Calibri" w:hAnsi="Calibri" w:eastAsia="Calibri"/>
          <w:b/>
          <w:color w:val="1F4D78"/>
          <w:sz w:val="17"/>
        </w:rPr>
        <w:t xml:space="preserve">[S22] Hexfield support builder: </w:t>
      </w:r>
      <w:r>
        <w:rPr>
          <w:rFonts w:ascii="Consolas" w:hAnsi="Consolas" w:eastAsia="Consolas"/>
          <w:color w:val="5C6670"/>
          <w:sz w:val="16"/>
        </w:rPr>
        <w:t>E:\Hexo-BotTrainer-hexgt\packages\hexfield_eq\rust\src\support.rs</w:t>
      </w:r>
      <w:r>
        <w:rPr>
          <w:rFonts w:ascii="Calibri" w:hAnsi="Calibri" w:eastAsia="Calibri"/>
          <w:color w:val="5C6670"/>
          <w:sz w:val="17"/>
        </w:rPr>
        <w:t xml:space="preserve"> - radius-4 support and dropped legal moves</w:t>
      </w:r>
    </w:p>
    <w:p>
      <w:pPr>
        <w:pStyle w:val="SourceText"/>
        <w:ind w:left="360" w:hanging="360"/>
      </w:pPr>
      <w:r>
        <w:rPr>
          <w:rFonts w:ascii="Calibri" w:hAnsi="Calibri" w:eastAsia="Calibri"/>
          <w:b/>
          <w:color w:val="1F4D78"/>
          <w:sz w:val="17"/>
        </w:rPr>
        <w:t xml:space="preserve">[S23] Hexfield payload mapping: </w:t>
      </w:r>
      <w:r>
        <w:rPr>
          <w:rFonts w:ascii="Consolas" w:hAnsi="Consolas" w:eastAsia="Consolas"/>
          <w:color w:val="5C6670"/>
          <w:sz w:val="16"/>
        </w:rPr>
        <w:t>E:\Hexo-BotTrainer-hexgt\packages\hexfield_eq\rust\src\payload.rs</w:t>
      </w:r>
      <w:r>
        <w:rPr>
          <w:rFonts w:ascii="Calibri" w:hAnsi="Calibri" w:eastAsia="Calibri"/>
          <w:color w:val="5C6670"/>
          <w:sz w:val="17"/>
        </w:rPr>
        <w:t xml:space="preserve"> - support IDs become evaluator/search actions</w:t>
      </w:r>
    </w:p>
    <w:p>
      <w:pPr>
        <w:pStyle w:val="SourceText"/>
        <w:ind w:left="360" w:hanging="360"/>
      </w:pPr>
      <w:r>
        <w:rPr>
          <w:rFonts w:ascii="Calibri" w:hAnsi="Calibri" w:eastAsia="Calibri"/>
          <w:b/>
          <w:color w:val="1F4D78"/>
          <w:sz w:val="17"/>
        </w:rPr>
        <w:t xml:space="preserve">[S24] Main-3 external worktree and prefit: </w:t>
      </w:r>
      <w:r>
        <w:rPr>
          <w:rFonts w:ascii="Consolas" w:hAnsi="Consolas" w:eastAsia="Consolas"/>
          <w:color w:val="5C6670"/>
          <w:sz w:val="16"/>
        </w:rPr>
        <w:t>E:\Hexo-BotTrainer-hexgt\.claude\worktrees\resume-run-crash-fdef2b and E:\Hexo-BotTrainer\runs\hexfield_eq_main3_prefit\additive</w:t>
      </w:r>
      <w:r>
        <w:rPr>
          <w:rFonts w:ascii="Calibri" w:hAnsi="Calibri" w:eastAsia="Calibri"/>
          <w:color w:val="5C6670"/>
          <w:sz w:val="17"/>
        </w:rPr>
        <w:t xml:space="preserve"> - additive LUT configuration and optimization telemetry; no finished strength edge</w:t>
      </w:r>
    </w:p>
    <w:p>
      <w:pPr>
        <w:pStyle w:val="SourceText"/>
        <w:ind w:left="360" w:hanging="360"/>
      </w:pPr>
      <w:r>
        <w:rPr>
          <w:rFonts w:ascii="Calibri" w:hAnsi="Calibri" w:eastAsia="Calibri"/>
          <w:b/>
          <w:color w:val="1F4D78"/>
          <w:sz w:val="17"/>
        </w:rPr>
        <w:t xml:space="preserve">[S25] Ray-convolution design note: </w:t>
      </w:r>
      <w:r>
        <w:rPr>
          <w:rFonts w:ascii="Consolas" w:hAnsi="Consolas" w:eastAsia="Consolas"/>
          <w:color w:val="5C6670"/>
          <w:sz w:val="16"/>
        </w:rPr>
        <w:t>E:\Hexo-BotTrainer-hexgt\docs\RAY_CONV_DESIGN_SPACE.md</w:t>
      </w:r>
      <w:r>
        <w:rPr>
          <w:rFonts w:ascii="Calibri" w:hAnsi="Calibri" w:eastAsia="Calibri"/>
          <w:color w:val="5C6670"/>
          <w:sz w:val="17"/>
        </w:rPr>
        <w:t xml:space="preserve"> - contains stale Strix radius and parameter estimates</w:t>
      </w:r>
    </w:p>
    <w:p>
      <w:pPr>
        <w:pStyle w:val="Heading1"/>
      </w:pPr>
      <w:r>
        <w:t>Appendix B. Checkpoint facts</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1750"/>
        <w:gridCol w:w="2200"/>
        <w:gridCol w:w="1500"/>
        <w:gridCol w:w="3910"/>
      </w:tblGrid>
      <w:tr>
        <w:trPr>
          <w:cantSplit/>
          <w:tblHeader w:val="true"/>
          <w:cantSplit/>
          <w:tblHeader w:val="true"/>
        </w:trPr>
        <w:tc>
          <w:tcPr>
            <w:tcW w:type="dxa" w:w="175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Artifact</w:t>
            </w:r>
          </w:p>
        </w:tc>
        <w:tc>
          <w:tcPr>
            <w:tcW w:type="dxa" w:w="220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Checkpoint</w:t>
            </w:r>
          </w:p>
        </w:tc>
        <w:tc>
          <w:tcPr>
            <w:tcW w:type="dxa" w:w="150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Trainable params</w:t>
            </w:r>
          </w:p>
        </w:tc>
        <w:tc>
          <w:tcPr>
            <w:tcW w:type="dxa" w:w="3910"/>
            <w:tcMar>
              <w:top w:w="80" w:type="dxa"/>
              <w:start w:w="120" w:type="dxa"/>
              <w:bottom w:w="80" w:type="dxa"/>
              <w:end w:w="120" w:type="dxa"/>
            </w:tcMar>
            <w:vAlign w:val="center"/>
            <w:shd w:fill="F2F4F7" w:val="clear"/>
          </w:tcPr>
          <w:p>
            <w:pPr>
              <w:pStyle w:val="TableHeader"/>
              <w:jc w:val="left"/>
            </w:pPr>
            <w:r>
              <w:rPr>
                <w:rFonts w:ascii="Calibri" w:hAnsi="Calibri" w:eastAsia="Calibri"/>
                <w:b/>
                <w:color w:val="172A3A"/>
                <w:sz w:val="17"/>
              </w:rPr>
              <w:t>Architecture summary</w:t>
            </w:r>
          </w:p>
        </w:tc>
      </w:tr>
      <w:tr>
        <w:trPr>
          <w:cantSplit/>
        </w:trPr>
        <w:tc>
          <w:tcPr>
            <w:tcW w:type="dxa" w:w="1750"/>
            <w:tcMar>
              <w:top w:w="80" w:type="dxa"/>
              <w:start w:w="120" w:type="dxa"/>
              <w:bottom w:w="80" w:type="dxa"/>
              <w:end w:w="120" w:type="dxa"/>
            </w:tcMar>
            <w:vAlign w:val="center"/>
          </w:tcPr>
          <w:p>
            <w:pPr>
              <w:pStyle w:val="TableText"/>
              <w:jc w:val="left"/>
            </w:pPr>
            <w:r>
              <w:rPr>
                <w:rFonts w:ascii="Calibri" w:hAnsi="Calibri" w:eastAsia="Calibri"/>
                <w:color w:val="000000"/>
                <w:sz w:val="17"/>
              </w:rPr>
              <w:t>Strix anchor</w:t>
            </w:r>
          </w:p>
        </w:tc>
        <w:tc>
          <w:tcPr>
            <w:tcW w:type="dxa" w:w="2200"/>
            <w:tcMar>
              <w:top w:w="80" w:type="dxa"/>
              <w:start w:w="120" w:type="dxa"/>
              <w:bottom w:w="80" w:type="dxa"/>
              <w:end w:w="120" w:type="dxa"/>
            </w:tcMar>
            <w:vAlign w:val="center"/>
          </w:tcPr>
          <w:p>
            <w:pPr>
              <w:pStyle w:val="TableText"/>
              <w:jc w:val="left"/>
            </w:pPr>
            <w:r>
              <w:rPr>
                <w:rFonts w:ascii="Calibri" w:hAnsi="Calibri" w:eastAsia="Calibri"/>
                <w:color w:val="000000"/>
                <w:sz w:val="17"/>
              </w:rPr>
              <w:t>checkpoint_00237000.pt</w:t>
            </w:r>
          </w:p>
        </w:tc>
        <w:tc>
          <w:tcPr>
            <w:tcW w:type="dxa" w:w="1500"/>
            <w:tcMar>
              <w:top w:w="80" w:type="dxa"/>
              <w:start w:w="120" w:type="dxa"/>
              <w:bottom w:w="80" w:type="dxa"/>
              <w:end w:w="120" w:type="dxa"/>
            </w:tcMar>
            <w:vAlign w:val="center"/>
          </w:tcPr>
          <w:p>
            <w:pPr>
              <w:pStyle w:val="TableText"/>
              <w:jc w:val="left"/>
            </w:pPr>
            <w:r>
              <w:rPr>
                <w:rFonts w:ascii="Calibri" w:hAnsi="Calibri" w:eastAsia="Calibri"/>
                <w:color w:val="000000"/>
                <w:sz w:val="17"/>
              </w:rPr>
              <w:t>283,970</w:t>
            </w:r>
          </w:p>
        </w:tc>
        <w:tc>
          <w:tcPr>
            <w:tcW w:type="dxa" w:w="3910"/>
            <w:tcMar>
              <w:top w:w="80" w:type="dxa"/>
              <w:start w:w="120" w:type="dxa"/>
              <w:bottom w:w="80" w:type="dxa"/>
              <w:end w:w="120" w:type="dxa"/>
            </w:tcMar>
            <w:vAlign w:val="center"/>
          </w:tcPr>
          <w:p>
            <w:pPr>
              <w:pStyle w:val="TableText"/>
              <w:jc w:val="left"/>
            </w:pPr>
            <w:r>
              <w:rPr>
                <w:rFonts w:ascii="Calibri" w:hAnsi="Calibri" w:eastAsia="Calibri"/>
                <w:color w:val="000000"/>
                <w:sz w:val="17"/>
              </w:rPr>
              <w:t>R6; width 128; 4 GINE; JK-cat; 11 node / 5 edge features</w:t>
            </w:r>
          </w:p>
        </w:tc>
      </w:tr>
      <w:tr>
        <w:trPr>
          <w:cantSplit/>
        </w:trPr>
        <w:tc>
          <w:tcPr>
            <w:tcW w:type="dxa" w:w="175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Hexfield_EQ main-2 ep70</w:t>
            </w:r>
          </w:p>
        </w:tc>
        <w:tc>
          <w:tcPr>
            <w:tcW w:type="dxa" w:w="22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epoch_000070.pt</w:t>
            </w:r>
          </w:p>
        </w:tc>
        <w:tc>
          <w:tcPr>
            <w:tcW w:type="dxa" w:w="150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627,343</w:t>
            </w:r>
          </w:p>
        </w:tc>
        <w:tc>
          <w:tcPr>
            <w:tcW w:type="dxa" w:w="3910"/>
            <w:shd w:fill="FAFBFC" w:val="clear"/>
            <w:tcMar>
              <w:top w:w="80" w:type="dxa"/>
              <w:start w:w="120" w:type="dxa"/>
              <w:bottom w:w="80" w:type="dxa"/>
              <w:end w:w="120" w:type="dxa"/>
            </w:tcMar>
            <w:vAlign w:val="center"/>
          </w:tcPr>
          <w:p>
            <w:pPr>
              <w:pStyle w:val="TableText"/>
              <w:jc w:val="left"/>
            </w:pPr>
            <w:r>
              <w:rPr>
                <w:rFonts w:ascii="Calibri" w:hAnsi="Calibri" w:eastAsia="Calibri"/>
                <w:color w:val="000000"/>
                <w:sz w:val="17"/>
              </w:rPr>
              <w:t>R4; C=192=12x16; CCACCACA; raytap both; register on/readback off</w:t>
            </w:r>
          </w:p>
        </w:tc>
      </w:tr>
      <w:tr>
        <w:trPr>
          <w:cantSplit/>
        </w:trPr>
        <w:tc>
          <w:tcPr>
            <w:tcW w:type="dxa" w:w="1750"/>
            <w:tcMar>
              <w:top w:w="80" w:type="dxa"/>
              <w:start w:w="120" w:type="dxa"/>
              <w:bottom w:w="80" w:type="dxa"/>
              <w:end w:w="120" w:type="dxa"/>
            </w:tcMar>
            <w:vAlign w:val="center"/>
          </w:tcPr>
          <w:p>
            <w:pPr>
              <w:pStyle w:val="TableText"/>
              <w:jc w:val="left"/>
            </w:pPr>
            <w:r>
              <w:rPr>
                <w:rFonts w:ascii="Calibri" w:hAnsi="Calibri" w:eastAsia="Calibri"/>
                <w:color w:val="000000"/>
                <w:sz w:val="17"/>
              </w:rPr>
              <w:t>Hexfield_EQ main-3 prefit</w:t>
            </w:r>
          </w:p>
        </w:tc>
        <w:tc>
          <w:tcPr>
            <w:tcW w:type="dxa" w:w="2200"/>
            <w:tcMar>
              <w:top w:w="80" w:type="dxa"/>
              <w:start w:w="120" w:type="dxa"/>
              <w:bottom w:w="80" w:type="dxa"/>
              <w:end w:w="120" w:type="dxa"/>
            </w:tcMar>
            <w:vAlign w:val="center"/>
          </w:tcPr>
          <w:p>
            <w:pPr>
              <w:pStyle w:val="TableText"/>
              <w:jc w:val="left"/>
            </w:pPr>
            <w:r>
              <w:rPr>
                <w:rFonts w:ascii="Calibri" w:hAnsi="Calibri" w:eastAsia="Calibri"/>
                <w:color w:val="000000"/>
                <w:sz w:val="17"/>
              </w:rPr>
              <w:t>additive/soak_init.pt</w:t>
            </w:r>
          </w:p>
        </w:tc>
        <w:tc>
          <w:tcPr>
            <w:tcW w:type="dxa" w:w="1500"/>
            <w:tcMar>
              <w:top w:w="80" w:type="dxa"/>
              <w:start w:w="120" w:type="dxa"/>
              <w:bottom w:w="80" w:type="dxa"/>
              <w:end w:w="120" w:type="dxa"/>
            </w:tcMar>
            <w:vAlign w:val="center"/>
          </w:tcPr>
          <w:p>
            <w:pPr>
              <w:pStyle w:val="TableText"/>
              <w:jc w:val="left"/>
            </w:pPr>
            <w:r>
              <w:rPr>
                <w:rFonts w:ascii="Calibri" w:hAnsi="Calibri" w:eastAsia="Calibri"/>
                <w:color w:val="000000"/>
                <w:sz w:val="17"/>
              </w:rPr>
              <w:t>636,943</w:t>
            </w:r>
          </w:p>
        </w:tc>
        <w:tc>
          <w:tcPr>
            <w:tcW w:type="dxa" w:w="3910"/>
            <w:tcMar>
              <w:top w:w="80" w:type="dxa"/>
              <w:start w:w="120" w:type="dxa"/>
              <w:bottom w:w="80" w:type="dxa"/>
              <w:end w:w="120" w:type="dxa"/>
            </w:tcMar>
            <w:vAlign w:val="center"/>
          </w:tcPr>
          <w:p>
            <w:pPr>
              <w:pStyle w:val="TableText"/>
              <w:jc w:val="left"/>
            </w:pPr>
            <w:r>
              <w:rPr>
                <w:rFonts w:ascii="Calibri" w:hAnsi="Calibri" w:eastAsia="Calibri"/>
                <w:color w:val="000000"/>
                <w:sz w:val="17"/>
              </w:rPr>
              <w:t>Proposed additive ray LUT; no completed self-play strength result</w:t>
            </w:r>
          </w:p>
        </w:tc>
      </w:tr>
    </w:tbl>
    <w:p>
      <w:pPr>
        <w:pStyle w:val="SourceText"/>
        <w:spacing w:before="100"/>
      </w:pPr>
      <w:r>
        <w:rPr>
          <w:rFonts w:ascii="Calibri" w:hAnsi="Calibri" w:eastAsia="Calibri"/>
          <w:i/>
          <w:color w:val="5C6670"/>
          <w:sz w:val="17"/>
        </w:rPr>
        <w:t>Note: tensor-element counts can be a few elements higher because persistent buffers such as GINE epsilon values are included. The report uses trainable parameter counts.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C6670"/>
        <w:sz w:val="18"/>
      </w:rPr>
      <w:t xml:space="preserve">CPU-only investigation  |  Page </w:t>
    </w:r>
    <w:r>
      <w:rPr>
        <w:rFonts w:ascii="Calibri" w:hAnsi="Calibri" w:eastAsia="Calibri"/>
        <w:color w:val="5C66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C6670"/>
        <w:sz w:val="17"/>
      </w:rPr>
      <w:t>HEXFIELD_EQ VS. STRIX</w:t>
    </w:r>
    <w:r>
      <w:rPr>
        <w:rFonts w:ascii="Calibri" w:hAnsi="Calibri" w:eastAsia="Calibri"/>
        <w:color w:val="5C6670"/>
        <w:sz w:val="17"/>
      </w:rPr>
      <w:t xml:space="preserve">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pPr>
      <w:rPr>
        <w:rFonts w:ascii="Calibri" w:hAnsi="Calibri"/>
      </w:rPr>
    </w:lvl>
  </w:abstractNum>
  <w:abstractNum w:abstractNumId="10">
    <w:multiLevelType w:val="singleLevel"/>
    <w:lvl w:ilvl="0">
      <w:start w:val="1"/>
      <w:numFmt w:val="decimal"/>
      <w:lvlText w:val="%1."/>
      <w:suff w:val="tab"/>
      <w:pPr>
        <w:tabs>
          <w:tab w:val="num" w:pos="720"/>
        </w:tabs>
        <w:ind w:left="720" w:hanging="360"/>
      </w:pPr>
      <w:rPr>
        <w:rFonts w:ascii="Calibri" w:hAnsi="Calibri"/>
      </w:rPr>
    </w:lvl>
  </w:abstractNum>
  <w:abstractNum w:abstractNumId="11">
    <w:multiLevelType w:val="singleLevel"/>
    <w:lvl w:ilvl="0">
      <w:start w:val="1"/>
      <w:numFmt w:val="decimal"/>
      <w:lvlText w:val="%1."/>
      <w:suff w:val="tab"/>
      <w:pPr>
        <w:tabs>
          <w:tab w:val="num" w:pos="720"/>
        </w:tabs>
        <w:ind w:left="720" w:hanging="360"/>
      </w:pPr>
      <w:rPr>
        <w:rFonts w:ascii="Calibri" w:hAnsi="Calibri"/>
      </w:rPr>
    </w:lvl>
  </w:abstractNum>
  <w:abstractNum w:abstractNumId="12">
    <w:multiLevelType w:val="singleLevel"/>
    <w:lvl w:ilvl="0">
      <w:start w:val="1"/>
      <w:numFmt w:val="decimal"/>
      <w:lvlText w:val="%1."/>
      <w:suff w:val="tab"/>
      <w:pPr>
        <w:tabs>
          <w:tab w:val="num" w:pos="720"/>
        </w:tabs>
        <w:ind w:left="720" w:hanging="360"/>
      </w:pPr>
      <w:rPr>
        <w:rFonts w:ascii="Calibri" w:hAnsi="Calibri"/>
      </w:rPr>
    </w:lvl>
  </w:abstractNum>
  <w:abstractNum w:abstractNumId="13">
    <w:multiLevelType w:val="singleLevel"/>
    <w:lvl w:ilvl="0">
      <w:start w:val="1"/>
      <w:numFmt w:val="decimal"/>
      <w:lvlText w:val="%1."/>
      <w:suff w:val="tab"/>
      <w:pPr>
        <w:tabs>
          <w:tab w:val="num" w:pos="720"/>
        </w:tabs>
        <w:ind w:left="720" w:hanging="360"/>
      </w:pPr>
      <w:rPr>
        <w:rFonts w:ascii="Calibri" w:hAnsi="Calibri"/>
      </w:rPr>
    </w:lvl>
  </w:abstractNum>
  <w:abstractNum w:abstractNumId="14">
    <w:multiLevelType w:val="singleLevel"/>
    <w:lvl w:ilvl="0">
      <w:start w:val="1"/>
      <w:numFmt w:val="decimal"/>
      <w:lvlText w:val="%1."/>
      <w:suff w:val="tab"/>
      <w:pPr>
        <w:tabs>
          <w:tab w:val="num" w:pos="720"/>
        </w:tabs>
        <w:ind w:left="720" w:hanging="360"/>
      </w:pPr>
      <w:rPr>
        <w:rFonts w:ascii="Calibri" w:hAnsi="Calibri"/>
      </w:rPr>
    </w:lvl>
  </w:abstractNum>
  <w:abstractNum w:abstractNumId="15">
    <w:multiLevelType w:val="singleLevel"/>
    <w:lvl w:ilvl="0">
      <w:start w:val="1"/>
      <w:numFmt w:val="decimal"/>
      <w:lvlText w:val="%1."/>
      <w:suff w:val="tab"/>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172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val="0"/>
      <w:iCs/>
      <w:color w:val="5C667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0" w:after="80" w:line="264" w:lineRule="auto"/>
    </w:pPr>
    <w:rPr>
      <w:rFonts w:ascii="Calibri" w:hAnsi="Calibri"/>
      <w:b w:val="0"/>
      <w:color w:val="172A3A"/>
      <w:sz w:val="22"/>
    </w:rPr>
  </w:style>
  <w:style w:type="paragraph" w:customStyle="1" w:styleId="TableText">
    <w:name w:val="Table Text"/>
    <w:pPr>
      <w:spacing w:before="0" w:after="80" w:line="259" w:lineRule="auto"/>
    </w:pPr>
    <w:rPr>
      <w:rFonts w:ascii="Calibri" w:hAnsi="Calibri"/>
      <w:b w:val="0"/>
      <w:color w:val="000000"/>
      <w:sz w:val="18"/>
    </w:rPr>
  </w:style>
  <w:style w:type="paragraph" w:customStyle="1" w:styleId="TableHeader">
    <w:name w:val="Table Header"/>
    <w:pPr>
      <w:spacing w:before="0" w:after="80" w:line="259" w:lineRule="auto"/>
    </w:pPr>
    <w:rPr>
      <w:rFonts w:ascii="Calibri" w:hAnsi="Calibri"/>
      <w:b/>
      <w:color w:val="172A3A"/>
      <w:sz w:val="18"/>
    </w:rPr>
  </w:style>
  <w:style w:type="paragraph" w:customStyle="1" w:styleId="SourceText">
    <w:name w:val="Source Text"/>
    <w:pPr>
      <w:spacing w:before="0" w:after="60" w:line="264" w:lineRule="auto"/>
    </w:pPr>
    <w:rPr>
      <w:rFonts w:ascii="Calibri" w:hAnsi="Calibri"/>
      <w:b w:val="0"/>
      <w:color w:val="5C6670"/>
      <w:sz w:val="17"/>
    </w:rPr>
  </w:style>
  <w:style w:type="paragraph" w:customStyle="1" w:styleId="Kicker">
    <w:name w:val="Kicker"/>
    <w:pPr>
      <w:spacing w:before="0" w:after="80" w:line="264" w:lineRule="auto"/>
    </w:pPr>
    <w:rPr>
      <w:rFonts w:ascii="Calibri" w:hAnsi="Calibri"/>
      <w:b/>
      <w:color w:val="2E74B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otyOwl/hexo-strix/blob/031d309fb165/hexo-rs/hexo-mcts/src/mcts/gumbel_mcts.rs#L294-L4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Hexfield_EQ vs. Strix - Architecture, Search, Training, and Evaluation Review</dc:title>
  <dc:subject>CPU-only technical investigation and engineering recommendations</dc:subject>
  <dc:creator>Codex</dc:creator>
  <cp:keywords>Hexfield_EQ, Strix, GINE, Gumbel MCTS, forcing solver, D6 equivariance</cp:keywords>
  <dc:description>generated by python-docx</dc:description>
  <cp:lastModifiedBy/>
  <cp:revision>1</cp:revision>
  <dcterms:created xsi:type="dcterms:W3CDTF">2013-12-23T23:15:00Z</dcterms:created>
  <dcterms:modified xsi:type="dcterms:W3CDTF">2013-12-23T23:15:00Z</dcterms:modified>
  <cp:category/>
</cp:coreProperties>
</file>