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i w:val="1"/>
          <w:u w:val="single"/>
          <w:rtl w:val="0"/>
        </w:rPr>
        <w:t xml:space="preserve">Key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u w:val="single"/>
          <w:rtl w:val="0"/>
        </w:rPr>
        <w:t xml:space="preserve">bold and underlined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Name of the class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hd w:fill="ff9900" w:val="clear"/>
          <w:rtl w:val="0"/>
        </w:rPr>
        <w:t xml:space="preserve">highlighted orange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properties of the class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highlight w:val="cyan"/>
          <w:rtl w:val="0"/>
        </w:rPr>
        <w:t xml:space="preserve">highlighted blue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behaviors of the class</w:t>
      </w:r>
    </w:p>
    <w:tbl>
      <w:tblPr>
        <w:tblStyle w:val="Table1"/>
        <w:bidi w:val="0"/>
        <w:tblW w:w="3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tblGridChange w:id="0">
          <w:tblGrid>
            <w:gridCol w:w="348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-int speed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-bool 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-double radius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getSpeed()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+bool getFanOperation()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+double getRadius()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+void getItAll()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tblGridChange w:id="0">
          <w:tblGrid>
            <w:gridCol w:w="34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QuadraticEquation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-int 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-int 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-int c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-double r1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-double r2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-double discriminant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getA()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getB()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getC()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getEmAll()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+double getDiscriminant()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+double getRoot1()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+double getRoot2()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+double displayRoots()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tblGridChange w:id="0">
          <w:tblGrid>
            <w:gridCol w:w="35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EvenNumbers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hd w:fill="ff9900" w:val="clear"/>
                <w:rtl w:val="0"/>
              </w:rPr>
              <w:t xml:space="preserve">-int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getValue()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getNext()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cyan"/>
                <w:rtl w:val="0"/>
              </w:rPr>
              <w:t xml:space="preserve">+int getPrevious()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